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397D" w:rsidRDefault="008A397D" w:rsidP="008A397D">
      <w:pPr>
        <w:pStyle w:val="Titre3"/>
        <w:jc w:val="center"/>
      </w:pPr>
      <w:r>
        <w:rPr>
          <w:rFonts w:ascii="Verdana" w:hAnsi="Verdana"/>
          <w:sz w:val="21"/>
          <w:szCs w:val="21"/>
        </w:rPr>
        <w:t>Livres</w:t>
      </w:r>
    </w:p>
    <w:p w:rsidR="008A397D" w:rsidRDefault="008A397D" w:rsidP="008A397D">
      <w:pPr>
        <w:pStyle w:val="NormalWeb"/>
        <w:jc w:val="center"/>
      </w:pPr>
    </w:p>
    <w:p w:rsidR="008A397D" w:rsidRDefault="008A397D" w:rsidP="008A397D">
      <w:pPr>
        <w:pStyle w:val="NormalWeb"/>
        <w:ind w:left="284"/>
      </w:pPr>
    </w:p>
    <w:p w:rsidR="008A397D" w:rsidRDefault="008A397D" w:rsidP="008A397D">
      <w:pPr>
        <w:pStyle w:val="NormalWeb"/>
      </w:pPr>
      <w:r>
        <w:t>SCHLEGEL (Friedrich),</w:t>
      </w:r>
      <w:r>
        <w:rPr>
          <w:rStyle w:val="Accentuation"/>
          <w:rFonts w:eastAsiaTheme="majorEastAsia"/>
        </w:rPr>
        <w:t xml:space="preserve"> L’essence de la critique, Ecrits sur Lessing.</w:t>
      </w:r>
      <w:r>
        <w:t xml:space="preserve"> Lille, Presses du Septentrion, 2005.</w:t>
      </w:r>
      <w:r>
        <w:br/>
        <w:t>(Co-traducteur)</w:t>
      </w:r>
    </w:p>
    <w:p w:rsidR="008A397D" w:rsidRDefault="008A397D" w:rsidP="008A397D">
      <w:pPr>
        <w:pStyle w:val="NormalWeb"/>
      </w:pPr>
      <w:r>
        <w:rPr>
          <w:rStyle w:val="Accentuation"/>
          <w:rFonts w:eastAsiaTheme="majorEastAsia"/>
        </w:rPr>
        <w:t>Trésor de la nouvelle de la littérature allemande : anthologie en français de nouvelles allemandes.</w:t>
      </w:r>
      <w:r>
        <w:t xml:space="preserve"> Paris, Les Belles Lettres, 2 volumes (250 p. chacun), novembre 2007, en collaboration avec Jean-Marie Valentin.</w:t>
      </w:r>
    </w:p>
    <w:p w:rsidR="008A397D" w:rsidRDefault="008A397D" w:rsidP="008A397D">
      <w:pPr>
        <w:pStyle w:val="NormalWeb"/>
      </w:pPr>
      <w:r w:rsidRPr="008A397D">
        <w:rPr>
          <w:rStyle w:val="Accentuation"/>
          <w:rFonts w:eastAsiaTheme="majorEastAsia"/>
          <w:lang w:val="en-US"/>
        </w:rPr>
        <w:t xml:space="preserve">« Zwischenfälle, die manchmal das Beste waren ». </w:t>
      </w:r>
      <w:r>
        <w:rPr>
          <w:rStyle w:val="Accentuation"/>
          <w:rFonts w:eastAsiaTheme="majorEastAsia"/>
        </w:rPr>
        <w:t>Heinrich Mann et la nouvelle. Pratiques d’un genre entre roman et théâtre</w:t>
      </w:r>
      <w:r>
        <w:t xml:space="preserve">, Bern, Berlin, etc., Peter Lang, coll. « Contacts », série III, Etudes et documents, éd. </w:t>
      </w:r>
      <w:proofErr w:type="gramStart"/>
      <w:r>
        <w:t>par</w:t>
      </w:r>
      <w:proofErr w:type="gramEnd"/>
      <w:r>
        <w:t xml:space="preserve"> Jean-Marie Valentin, 525 p, 2008.</w:t>
      </w:r>
    </w:p>
    <w:p w:rsidR="008A397D" w:rsidRDefault="008A397D" w:rsidP="008A397D">
      <w:pPr>
        <w:pStyle w:val="NormalWeb"/>
      </w:pPr>
      <w:r>
        <w:rPr>
          <w:rStyle w:val="Accentuation"/>
          <w:rFonts w:eastAsiaTheme="majorEastAsia"/>
        </w:rPr>
        <w:t>Der Untertan d’Heinrich Mann,</w:t>
      </w:r>
      <w:r>
        <w:t xml:space="preserve"> cours de préparation à l’Agrégation et au CAPES d’allemand 2009, CNED, 2009.</w:t>
      </w:r>
    </w:p>
    <w:p w:rsidR="008A397D" w:rsidRDefault="008A397D" w:rsidP="008A397D">
      <w:pPr>
        <w:pStyle w:val="NormalWeb"/>
      </w:pPr>
      <w:r>
        <w:rPr>
          <w:rStyle w:val="Accentuation"/>
          <w:rFonts w:eastAsiaTheme="majorEastAsia"/>
        </w:rPr>
        <w:t>Berlin Alexanderplatz, d’Alfred Döblin, cours de préparation à l’Agrégation d’allemand</w:t>
      </w:r>
      <w:r>
        <w:t xml:space="preserve"> 2011, CNED</w:t>
      </w:r>
    </w:p>
    <w:p w:rsidR="008A397D" w:rsidRDefault="008A397D" w:rsidP="008A397D">
      <w:pPr>
        <w:pStyle w:val="NormalWeb"/>
      </w:pPr>
      <w:r>
        <w:t xml:space="preserve">LESSING, G. E. : </w:t>
      </w:r>
      <w:r>
        <w:rPr>
          <w:rStyle w:val="Accentuation"/>
          <w:rFonts w:eastAsiaTheme="majorEastAsia"/>
        </w:rPr>
        <w:t>Laocoon ou Des Frontières de la peinture et de la poésie</w:t>
      </w:r>
      <w:r>
        <w:t>, nouvelle traduction et présentation, suivie des paralipomènes. Paris, Klincksieck, coll. « L’esprit et les formes 35 », dir. par Eryck de Rubercy, 2011.</w:t>
      </w:r>
    </w:p>
    <w:p w:rsidR="008A397D" w:rsidRDefault="008A397D" w:rsidP="008A397D">
      <w:pPr>
        <w:pStyle w:val="NormalWeb"/>
        <w:ind w:left="284"/>
      </w:pPr>
    </w:p>
    <w:p w:rsidR="008A397D" w:rsidRDefault="008A397D" w:rsidP="008A397D">
      <w:pPr>
        <w:pStyle w:val="Titre3"/>
        <w:ind w:left="284"/>
        <w:jc w:val="center"/>
      </w:pPr>
      <w:r>
        <w:rPr>
          <w:rStyle w:val="lev"/>
          <w:rFonts w:ascii="Verdana" w:hAnsi="Verdana"/>
          <w:b/>
          <w:bCs/>
          <w:sz w:val="21"/>
          <w:szCs w:val="21"/>
        </w:rPr>
        <w:t>Direction d’ouvrages</w:t>
      </w:r>
    </w:p>
    <w:p w:rsidR="008A397D" w:rsidRDefault="008A397D" w:rsidP="008A397D">
      <w:pPr>
        <w:pStyle w:val="NormalWeb"/>
        <w:ind w:left="284"/>
      </w:pPr>
    </w:p>
    <w:p w:rsidR="008A397D" w:rsidRDefault="008A397D" w:rsidP="008A397D">
      <w:pPr>
        <w:pStyle w:val="NormalWeb"/>
        <w:jc w:val="both"/>
      </w:pPr>
      <w:r>
        <w:t>Berlin Alexanderplatz</w:t>
      </w:r>
      <w:r>
        <w:rPr>
          <w:rStyle w:val="Accentuation"/>
          <w:rFonts w:eastAsiaTheme="majorEastAsia"/>
        </w:rPr>
        <w:t>, d’Alfred Döblin, un roman dans une œuvre, une œuvre dans son temps</w:t>
      </w:r>
      <w:r>
        <w:t>, Paris, L’Harmattan (coll. « De l’Allemand »), 2011.</w:t>
      </w:r>
    </w:p>
    <w:p w:rsidR="008A397D" w:rsidRDefault="008A397D" w:rsidP="008A397D">
      <w:pPr>
        <w:pStyle w:val="NormalWeb"/>
        <w:jc w:val="both"/>
      </w:pPr>
      <w:r>
        <w:t>« Ich </w:t>
      </w:r>
      <w:r>
        <w:rPr>
          <w:rStyle w:val="Accentuation"/>
          <w:rFonts w:eastAsiaTheme="majorEastAsia"/>
        </w:rPr>
        <w:t>» de Wolfgang Hilbig. Littérature, identité et faux-semblants</w:t>
      </w:r>
      <w:r>
        <w:t>, Paris, L’Harmattan (coll. « De l’Allemand »), 2013.</w:t>
      </w:r>
    </w:p>
    <w:p w:rsidR="008A397D" w:rsidRDefault="008A397D" w:rsidP="008A397D">
      <w:pPr>
        <w:pStyle w:val="NormalWeb"/>
        <w:jc w:val="both"/>
      </w:pPr>
      <w:r>
        <w:rPr>
          <w:rStyle w:val="Accentuation"/>
          <w:rFonts w:eastAsiaTheme="majorEastAsia"/>
        </w:rPr>
        <w:t>W. G. Sebald. Récit, histoire et biographie dans</w:t>
      </w:r>
      <w:r>
        <w:t xml:space="preserve"> Die Ausgewanderten </w:t>
      </w:r>
      <w:r>
        <w:rPr>
          <w:rStyle w:val="Accentuation"/>
          <w:rFonts w:eastAsiaTheme="majorEastAsia"/>
        </w:rPr>
        <w:t>et</w:t>
      </w:r>
      <w:r>
        <w:t xml:space="preserve"> Austerlitz (dir. F. </w:t>
      </w:r>
      <w:proofErr w:type="gramStart"/>
      <w:r>
        <w:t>Teinturier ,</w:t>
      </w:r>
      <w:proofErr w:type="gramEnd"/>
      <w:r>
        <w:t xml:space="preserve"> M. Convindassamy et S. Arlaud), Paris, L’Harmattan, 2015.</w:t>
      </w:r>
    </w:p>
    <w:p w:rsidR="008A397D" w:rsidRDefault="008A397D" w:rsidP="008A397D">
      <w:pPr>
        <w:pStyle w:val="NormalWeb"/>
        <w:jc w:val="both"/>
      </w:pPr>
      <w:r>
        <w:rPr>
          <w:rStyle w:val="Accentuation"/>
          <w:rFonts w:eastAsiaTheme="majorEastAsia"/>
          <w:sz w:val="20"/>
          <w:szCs w:val="20"/>
        </w:rPr>
        <w:t>Autobiographie et textualité de l’événement au XXe siècle dans les pays de langue allemande</w:t>
      </w:r>
      <w:r>
        <w:rPr>
          <w:sz w:val="20"/>
          <w:szCs w:val="20"/>
        </w:rPr>
        <w:t xml:space="preserve"> (dir. Françoise Latrillot et Frédéric Teinturier), Bern, Berlin etc., Peter Lang (coll. Genèses de textes 7), 2016.</w:t>
      </w:r>
    </w:p>
    <w:p w:rsidR="008A397D" w:rsidRDefault="008A397D" w:rsidP="008A397D">
      <w:pPr>
        <w:pStyle w:val="NormalWeb"/>
        <w:ind w:left="284"/>
      </w:pPr>
    </w:p>
    <w:p w:rsidR="008A397D" w:rsidRDefault="008A397D" w:rsidP="008A397D">
      <w:pPr>
        <w:pStyle w:val="Titre3"/>
        <w:jc w:val="center"/>
      </w:pPr>
      <w:r>
        <w:rPr>
          <w:rStyle w:val="lev"/>
          <w:rFonts w:ascii="Verdana" w:hAnsi="Verdana"/>
          <w:b/>
          <w:bCs/>
          <w:sz w:val="21"/>
          <w:szCs w:val="21"/>
        </w:rPr>
        <w:t xml:space="preserve">Articles (revues et ouvrages) </w:t>
      </w:r>
    </w:p>
    <w:p w:rsidR="008A397D" w:rsidRDefault="008A397D" w:rsidP="008A397D">
      <w:pPr>
        <w:pStyle w:val="NormalWeb"/>
        <w:ind w:left="284"/>
      </w:pPr>
    </w:p>
    <w:p w:rsidR="008A397D" w:rsidRDefault="008A397D" w:rsidP="008A397D">
      <w:pPr>
        <w:pStyle w:val="NormalWeb"/>
        <w:jc w:val="both"/>
      </w:pPr>
      <w:r>
        <w:lastRenderedPageBreak/>
        <w:t xml:space="preserve"> « La satire dans l’œuvre littéraire de Lion Feuchtwanger et d’Heinrich Mann pendant l’Exil. L’exemple des romans </w:t>
      </w:r>
      <w:r>
        <w:rPr>
          <w:rStyle w:val="Accentuation"/>
          <w:rFonts w:eastAsiaTheme="majorEastAsia"/>
        </w:rPr>
        <w:t>Der falsche Nero</w:t>
      </w:r>
      <w:r>
        <w:t xml:space="preserve"> et </w:t>
      </w:r>
      <w:r>
        <w:rPr>
          <w:rStyle w:val="Accentuation"/>
          <w:rFonts w:eastAsiaTheme="majorEastAsia"/>
        </w:rPr>
        <w:t>Lidice</w:t>
      </w:r>
      <w:r>
        <w:t xml:space="preserve"> », in : </w:t>
      </w:r>
      <w:r>
        <w:rPr>
          <w:rStyle w:val="Accentuation"/>
          <w:rFonts w:eastAsiaTheme="majorEastAsia"/>
        </w:rPr>
        <w:t>Lion Feuchtwanger et les exilés de langue allemande en France de 1933 à 1941, Jahrbuch für Internationale Germanistik</w:t>
      </w:r>
      <w:r>
        <w:t xml:space="preserve">, Reihe A-Kongressberichte, Bd. 76, hg. </w:t>
      </w:r>
      <w:proofErr w:type="gramStart"/>
      <w:r>
        <w:t>von</w:t>
      </w:r>
      <w:proofErr w:type="gramEnd"/>
      <w:r>
        <w:t xml:space="preserve"> D. Azuélos, Bern, Berlin etc., Peter Lang, 2006, p. 207-224.</w:t>
      </w:r>
    </w:p>
    <w:p w:rsidR="008A397D" w:rsidRDefault="008A397D" w:rsidP="008A397D">
      <w:pPr>
        <w:pStyle w:val="NormalWeb"/>
        <w:jc w:val="both"/>
      </w:pPr>
      <w:r>
        <w:t xml:space="preserve">« Quelle place pour la subjectivité ? Ou l’impossibilité de s’écrire : les écritures du moi dans les œuvres autobiographiques d’Heinrich Mann. » </w:t>
      </w:r>
      <w:proofErr w:type="gramStart"/>
      <w:r>
        <w:t>in  :</w:t>
      </w:r>
      <w:proofErr w:type="gramEnd"/>
      <w:r>
        <w:t xml:space="preserve"> </w:t>
      </w:r>
      <w:r>
        <w:rPr>
          <w:rStyle w:val="Accentuation"/>
          <w:rFonts w:eastAsiaTheme="majorEastAsia"/>
        </w:rPr>
        <w:t>Moi public et Moi privé dans les mémoires et écrits autobiographiques du xviie siècle à nos jours</w:t>
      </w:r>
      <w:r>
        <w:t>. Etudes réunies et présentées par Rolf Wintermeyer en coll. avec Corinne Bouillot, Rouen, Publication des Universités de Rouen et du Havre, 2008, p. 149-161.</w:t>
      </w:r>
    </w:p>
    <w:p w:rsidR="008A397D" w:rsidRDefault="008A397D" w:rsidP="008A397D">
      <w:pPr>
        <w:pStyle w:val="NormalWeb"/>
        <w:jc w:val="both"/>
      </w:pPr>
      <w:r>
        <w:t xml:space="preserve">« Der Teufel in Frankreich ? : Lion Feuchtwanger et la France ou le conflit culturel comme moyen de définir une identité culturelle. » in : « </w:t>
      </w:r>
      <w:r>
        <w:rPr>
          <w:rStyle w:val="Accentuation"/>
          <w:rFonts w:eastAsiaTheme="majorEastAsia"/>
        </w:rPr>
        <w:t>Culture(s) et conflit(s), cultures en conflit</w:t>
      </w:r>
      <w:r>
        <w:t xml:space="preserve"> », éd. </w:t>
      </w:r>
      <w:proofErr w:type="gramStart"/>
      <w:r>
        <w:t>par</w:t>
      </w:r>
      <w:proofErr w:type="gramEnd"/>
      <w:r>
        <w:t xml:space="preserve"> Valérie Peyronel, Paris, M. Houdiard Editeur, 2009, p. 248-257.</w:t>
      </w:r>
    </w:p>
    <w:p w:rsidR="008A397D" w:rsidRDefault="008A397D" w:rsidP="008A397D">
      <w:pPr>
        <w:pStyle w:val="NormalWeb"/>
        <w:jc w:val="both"/>
      </w:pPr>
      <w:r>
        <w:t xml:space="preserve">« Les dessins satiriques d’Heinrich Mann », in : </w:t>
      </w:r>
      <w:r>
        <w:rPr>
          <w:rStyle w:val="Accentuation"/>
          <w:rFonts w:eastAsiaTheme="majorEastAsia"/>
        </w:rPr>
        <w:t>Ridiculosa</w:t>
      </w:r>
      <w:r>
        <w:t xml:space="preserve">, n° 14/2007 revue annuelle de l’EIRIS, (Equipe interdisciplinaire de Recherche sur l’Image satirique), éd. </w:t>
      </w:r>
      <w:proofErr w:type="gramStart"/>
      <w:r>
        <w:t>par</w:t>
      </w:r>
      <w:proofErr w:type="gramEnd"/>
      <w:r>
        <w:t xml:space="preserve"> Jean-Claude GARDES, Brest. </w:t>
      </w:r>
      <w:r>
        <w:rPr>
          <w:rStyle w:val="Accentuation"/>
          <w:rFonts w:eastAsiaTheme="majorEastAsia"/>
        </w:rPr>
        <w:t>Ridiculosa</w:t>
      </w:r>
      <w:r>
        <w:t xml:space="preserve"> 14/</w:t>
      </w:r>
      <w:proofErr w:type="gramStart"/>
      <w:r>
        <w:t>2007,  «</w:t>
      </w:r>
      <w:proofErr w:type="gramEnd"/>
      <w:r>
        <w:t xml:space="preserve"> Caricature et modernité », p. 189-199.</w:t>
      </w:r>
    </w:p>
    <w:p w:rsidR="008A397D" w:rsidRDefault="008A397D" w:rsidP="008A397D">
      <w:pPr>
        <w:pStyle w:val="NormalWeb"/>
        <w:jc w:val="both"/>
      </w:pPr>
      <w:r>
        <w:t xml:space="preserve"> « Heinrich Mann et la nouvelle : l’utilisation paradoxale d’une forme générique traditionnelle au début du xxe siècle », in : </w:t>
      </w:r>
      <w:r>
        <w:rPr>
          <w:rStyle w:val="Accentuation"/>
          <w:rFonts w:eastAsiaTheme="majorEastAsia"/>
        </w:rPr>
        <w:t>Le texte et l’idée</w:t>
      </w:r>
      <w:r>
        <w:t xml:space="preserve"> 22/2007, éd. </w:t>
      </w:r>
      <w:proofErr w:type="gramStart"/>
      <w:r>
        <w:t>par</w:t>
      </w:r>
      <w:proofErr w:type="gramEnd"/>
      <w:r>
        <w:t xml:space="preserve"> Alain MUZELLE, Nancy,  p. 185-204.</w:t>
      </w:r>
    </w:p>
    <w:p w:rsidR="008A397D" w:rsidRDefault="008A397D" w:rsidP="008A397D">
      <w:pPr>
        <w:pStyle w:val="NormalWeb"/>
        <w:jc w:val="both"/>
      </w:pPr>
      <w:r>
        <w:t xml:space="preserve"> « Deux cas exemplaires, deux attitudes contraires ? Lion Feuchtwanger et Heinrich Mann en France. », in : </w:t>
      </w:r>
      <w:r>
        <w:rPr>
          <w:rStyle w:val="Accentuation"/>
          <w:rFonts w:eastAsiaTheme="majorEastAsia"/>
        </w:rPr>
        <w:t>Etudes germaniques</w:t>
      </w:r>
      <w:r>
        <w:t xml:space="preserve">, (4/2008), éd. </w:t>
      </w:r>
      <w:proofErr w:type="gramStart"/>
      <w:r>
        <w:t>par</w:t>
      </w:r>
      <w:proofErr w:type="gramEnd"/>
      <w:r>
        <w:t xml:space="preserve"> Jean-Marie Valentin (n° thématique : « Habiter ou ignorer l’autre – les écrivains de l’exil », études réunies par Daniel Azuélos), p. 809-820.</w:t>
      </w:r>
    </w:p>
    <w:p w:rsidR="008A397D" w:rsidRDefault="008A397D" w:rsidP="008A397D">
      <w:pPr>
        <w:pStyle w:val="NormalWeb"/>
        <w:jc w:val="both"/>
      </w:pPr>
      <w:r>
        <w:t xml:space="preserve"> « </w:t>
      </w:r>
      <w:r>
        <w:rPr>
          <w:rStyle w:val="Accentuation"/>
          <w:rFonts w:eastAsiaTheme="majorEastAsia"/>
        </w:rPr>
        <w:t>Der Teufel in Frankreich</w:t>
      </w:r>
      <w:r>
        <w:t xml:space="preserve"> de Lion Feuchtwanger : le récit d’enfermement comme moyen de redéfinir sa propre identité », in : </w:t>
      </w:r>
      <w:r>
        <w:rPr>
          <w:rStyle w:val="Accentuation"/>
          <w:rFonts w:eastAsiaTheme="majorEastAsia"/>
        </w:rPr>
        <w:t>Récits de prison et d’enfermement</w:t>
      </w:r>
      <w:r>
        <w:t>, sous la dir. De Christophe Dumas et Erich Fisbach, Presses Universitaires d’Angers, 2010, p. 157-166.</w:t>
      </w:r>
    </w:p>
    <w:p w:rsidR="008A397D" w:rsidRDefault="008A397D" w:rsidP="008A397D">
      <w:pPr>
        <w:pStyle w:val="NormalWeb"/>
        <w:jc w:val="both"/>
      </w:pPr>
      <w:r>
        <w:t xml:space="preserve"> « La place de </w:t>
      </w:r>
      <w:r>
        <w:rPr>
          <w:rStyle w:val="Accentuation"/>
          <w:rFonts w:eastAsiaTheme="majorEastAsia"/>
        </w:rPr>
        <w:t>Der Untertan</w:t>
      </w:r>
      <w:r>
        <w:t xml:space="preserve"> au sein de l’œuvre d’Heinrich Mann », publication électronique : "Individu &amp; Nation" centre de recherche interlangues "Texte Image Langage" (EA 4182), coll. placée sous la direction d'Agnès Alexandre-Collier. Vol. 2, Citoyen ou sujet : la représentation de la société wilhelminienne dans « Le sujet » de Heinrich Mann, éd. </w:t>
      </w:r>
      <w:proofErr w:type="gramStart"/>
      <w:r>
        <w:t>par</w:t>
      </w:r>
      <w:proofErr w:type="gramEnd"/>
      <w:r>
        <w:t xml:space="preserve"> Jean-Luc Gerrer (Centre Interlangues Texte, Image, Langage) et Richard Parisot, 2009 (EA3224, UFR SLHS, Université de Franche-Comté)</w:t>
      </w:r>
    </w:p>
    <w:p w:rsidR="008A397D" w:rsidRDefault="008A397D" w:rsidP="008A397D">
      <w:pPr>
        <w:pStyle w:val="NormalWeb"/>
        <w:jc w:val="both"/>
      </w:pPr>
      <w:r>
        <w:t xml:space="preserve"> « </w:t>
      </w:r>
      <w:r>
        <w:rPr>
          <w:rStyle w:val="Accentuation"/>
          <w:rFonts w:eastAsiaTheme="majorEastAsia"/>
        </w:rPr>
        <w:t>Der Untertan</w:t>
      </w:r>
      <w:r>
        <w:t xml:space="preserve"> et la tradition du Bildungsroman ». Publication électronique sur le site « La Clé des Langues », coll. « Literatur und Kunst um die Jahrhundertwende », 2009 (éd. </w:t>
      </w:r>
      <w:proofErr w:type="gramStart"/>
      <w:r>
        <w:t>par</w:t>
      </w:r>
      <w:proofErr w:type="gramEnd"/>
      <w:r>
        <w:t xml:space="preserve"> F. Teinturier), 2009.</w:t>
      </w:r>
    </w:p>
    <w:p w:rsidR="008A397D" w:rsidRDefault="008A397D" w:rsidP="008A397D">
      <w:pPr>
        <w:pStyle w:val="NormalWeb"/>
        <w:jc w:val="both"/>
      </w:pPr>
      <w:r>
        <w:t xml:space="preserve">« Heinrich Mann nouvelliste : entre récit et drame », in : </w:t>
      </w:r>
      <w:r>
        <w:rPr>
          <w:rStyle w:val="Accentuation"/>
          <w:rFonts w:eastAsiaTheme="majorEastAsia"/>
        </w:rPr>
        <w:t>Passage à l’acte</w:t>
      </w:r>
      <w:r>
        <w:t xml:space="preserve">, éd. </w:t>
      </w:r>
      <w:proofErr w:type="gramStart"/>
      <w:r>
        <w:t>par</w:t>
      </w:r>
      <w:proofErr w:type="gramEnd"/>
      <w:r>
        <w:t xml:space="preserve"> Corona Schmiele et Eric Leroy du Cardonnoy (ERLIS, Caen), Paris, Indigo, 2010, p. 98-115.</w:t>
      </w:r>
    </w:p>
    <w:p w:rsidR="008A397D" w:rsidRPr="008A397D" w:rsidRDefault="008A397D" w:rsidP="008A397D">
      <w:pPr>
        <w:pStyle w:val="NormalWeb"/>
        <w:jc w:val="both"/>
        <w:rPr>
          <w:lang w:val="en-US"/>
        </w:rPr>
      </w:pPr>
      <w:r>
        <w:t xml:space="preserve">« Une littérature populaire ? Le ‘cas’ Heinrich Mann à la fin de la République de Weimar », in : </w:t>
      </w:r>
      <w:r>
        <w:rPr>
          <w:rStyle w:val="Accentuation"/>
          <w:rFonts w:eastAsiaTheme="majorEastAsia"/>
        </w:rPr>
        <w:t xml:space="preserve">Das Populäre, Untersuchungen zu Interaktionen und Differenzierungsstrategien in Literatur, </w:t>
      </w:r>
      <w:r>
        <w:rPr>
          <w:rStyle w:val="Accentuation"/>
          <w:rFonts w:eastAsiaTheme="majorEastAsia"/>
        </w:rPr>
        <w:lastRenderedPageBreak/>
        <w:t>Kultur und Sprache,</w:t>
      </w:r>
      <w:r>
        <w:t xml:space="preserve"> (dir. </w:t>
      </w:r>
      <w:r w:rsidRPr="008A397D">
        <w:rPr>
          <w:lang w:val="en-US"/>
        </w:rPr>
        <w:t>O. Agard, C. Helmreich, H. Vinckel-Roisin), Göttingen, V&amp;Runipress, 2011, p. 145-158.</w:t>
      </w:r>
    </w:p>
    <w:p w:rsidR="008A397D" w:rsidRDefault="008A397D" w:rsidP="008A397D">
      <w:pPr>
        <w:pStyle w:val="NormalWeb"/>
        <w:jc w:val="both"/>
      </w:pPr>
      <w:r>
        <w:t xml:space="preserve">« Le snobisme dans l’œuvre de jeunesse d’Heinrich Mann. Une importante catégorie psychologique, entre Décadence et ‘Komödiantentum’ » in : </w:t>
      </w:r>
      <w:r>
        <w:rPr>
          <w:rStyle w:val="Accentuation"/>
          <w:rFonts w:eastAsiaTheme="majorEastAsia"/>
        </w:rPr>
        <w:t>Germanica</w:t>
      </w:r>
      <w:r>
        <w:t xml:space="preserve"> 49/2011, Péripéties du snobisme (dir. J Bel et T. R. Kuhnle), Lille, 2011, p. 23-39.</w:t>
      </w:r>
    </w:p>
    <w:p w:rsidR="008A397D" w:rsidRDefault="008A397D" w:rsidP="008A397D">
      <w:pPr>
        <w:pStyle w:val="NormalWeb"/>
        <w:jc w:val="both"/>
      </w:pPr>
      <w:r>
        <w:t xml:space="preserve">« Le plaisir du texte dans </w:t>
      </w:r>
      <w:r>
        <w:rPr>
          <w:rStyle w:val="Accentuation"/>
          <w:rFonts w:eastAsiaTheme="majorEastAsia"/>
        </w:rPr>
        <w:t>Berlin Alexanderplatz</w:t>
      </w:r>
      <w:r>
        <w:t>, Jeu avec le lecteur, jeu avec le genre, jeu avec le récit », in : Berlin Alexanderplatz</w:t>
      </w:r>
      <w:r>
        <w:rPr>
          <w:rStyle w:val="Accentuation"/>
          <w:rFonts w:eastAsiaTheme="majorEastAsia"/>
        </w:rPr>
        <w:t>, d’Alfred Döblin, un roman dans une œuvre, une œuvre dans son temps</w:t>
      </w:r>
      <w:r>
        <w:t>, Paris, L’Harmattan (coll. « De l’Allemand »), 2011, pp. 169-187.</w:t>
      </w:r>
    </w:p>
    <w:p w:rsidR="008A397D" w:rsidRDefault="008A397D" w:rsidP="008A397D">
      <w:pPr>
        <w:pStyle w:val="NormalWeb"/>
        <w:jc w:val="both"/>
      </w:pPr>
      <w:r>
        <w:t xml:space="preserve">« Feuchtwanger et la France : une relation ambiguë, révélatrice d’une conception contradictoire de la langue et de la traduction. ». </w:t>
      </w:r>
      <w:proofErr w:type="gramStart"/>
      <w:r>
        <w:t>in</w:t>
      </w:r>
      <w:proofErr w:type="gramEnd"/>
      <w:r>
        <w:t xml:space="preserve"> : </w:t>
      </w:r>
      <w:r>
        <w:rPr>
          <w:rStyle w:val="Accentuation"/>
          <w:rFonts w:eastAsiaTheme="majorEastAsia"/>
        </w:rPr>
        <w:t>Traduire l’Exil/Das Exil übersetzen</w:t>
      </w:r>
      <w:r>
        <w:t>. Textes, identités et histoire dans l’espace franco-allemand (1933-1945), Tours, Presses universitaires François-Rabelais, (coll. « Traductions dans l’histoire ») 2012, p. 123-148.</w:t>
      </w:r>
    </w:p>
    <w:p w:rsidR="008A397D" w:rsidRDefault="008A397D" w:rsidP="008A397D">
      <w:pPr>
        <w:pStyle w:val="NormalWeb"/>
        <w:jc w:val="both"/>
      </w:pPr>
      <w:r>
        <w:t xml:space="preserve">« Le grotesque dans les pièces de théâtre d’Heinrich Mann : des œuvres en marge, des œuvres de la marge et de l’ambivalence », in : </w:t>
      </w:r>
      <w:r>
        <w:rPr>
          <w:rStyle w:val="Accentuation"/>
          <w:rFonts w:eastAsiaTheme="majorEastAsia"/>
        </w:rPr>
        <w:t>Grotesque et spatialité dans les arts du spectacle et de l’image en Europe (XVIe-XXIe siècles</w:t>
      </w:r>
      <w:r>
        <w:t>), dir. A. Le Berre, F. Gabaude, P. Wellnitz, Bern, Berlin etc., Peter Lang (coll. „Theatrica“ 27), 2012, p. 175-187.</w:t>
      </w:r>
    </w:p>
    <w:p w:rsidR="008A397D" w:rsidRDefault="008A397D" w:rsidP="008A397D">
      <w:pPr>
        <w:pStyle w:val="NormalWeb"/>
        <w:jc w:val="both"/>
      </w:pPr>
      <w:r>
        <w:t xml:space="preserve">« Le motif du Komödiant et autres reprises du mythe de la métamorphose : l’œuvre narrative d’Heinrich Mann. », in : </w:t>
      </w:r>
      <w:r>
        <w:rPr>
          <w:rStyle w:val="Accentuation"/>
          <w:rFonts w:eastAsiaTheme="majorEastAsia"/>
        </w:rPr>
        <w:t>Poétiques de la métamorphose dans l’espace germanique et européen</w:t>
      </w:r>
      <w:r>
        <w:t>, (dir. K. Winkelvoss et F. Bancaud), Rouen, PURH, 2012, p. 113-124.</w:t>
      </w:r>
    </w:p>
    <w:p w:rsidR="008A397D" w:rsidRDefault="008A397D" w:rsidP="008A397D">
      <w:pPr>
        <w:pStyle w:val="NormalWeb"/>
        <w:jc w:val="both"/>
      </w:pPr>
      <w:r>
        <w:t xml:space="preserve">« La représentation des nazis dans l’œuvre d’Heinrich Mann : entre dénonciation satirique et recours au grotesque. », in : </w:t>
      </w:r>
      <w:r>
        <w:rPr>
          <w:rStyle w:val="Accentuation"/>
          <w:rFonts w:eastAsiaTheme="majorEastAsia"/>
        </w:rPr>
        <w:t>Expériences de guerres. Regards, témoignages, récits</w:t>
      </w:r>
      <w:r>
        <w:t>, (dir. R. Dickason), édition mare &amp; martin, 2012, p. 41-52.</w:t>
      </w:r>
    </w:p>
    <w:p w:rsidR="008A397D" w:rsidRDefault="008A397D" w:rsidP="008A397D">
      <w:pPr>
        <w:pStyle w:val="NormalWeb"/>
        <w:jc w:val="both"/>
      </w:pPr>
      <w:r>
        <w:t xml:space="preserve">« Les nouvelles de Kleist : ‘Schwester[n] des Dramas’ ? Réflexions sur l’art de la nouvelle dans l’œuvre de Kleist » in : </w:t>
      </w:r>
      <w:r>
        <w:rPr>
          <w:rStyle w:val="Accentuation"/>
          <w:rFonts w:eastAsiaTheme="majorEastAsia"/>
        </w:rPr>
        <w:t>Etudes germaniques</w:t>
      </w:r>
      <w:r>
        <w:t xml:space="preserve">, (1/2012), éd. </w:t>
      </w:r>
      <w:proofErr w:type="gramStart"/>
      <w:r>
        <w:t>par</w:t>
      </w:r>
      <w:proofErr w:type="gramEnd"/>
      <w:r>
        <w:t xml:space="preserve"> Jean-Marie Valentin (n° thématique : « Année Kleist en France « , dir. R. Heitz, A. Muzelle et J. M. Valentin), p. 133-145.</w:t>
      </w:r>
    </w:p>
    <w:p w:rsidR="008A397D" w:rsidRDefault="008A397D" w:rsidP="008A397D">
      <w:pPr>
        <w:pStyle w:val="NormalWeb"/>
        <w:jc w:val="both"/>
      </w:pPr>
      <w:r>
        <w:t xml:space="preserve">« Retour sur une influence supposée : </w:t>
      </w:r>
      <w:r>
        <w:rPr>
          <w:rStyle w:val="Accentuation"/>
          <w:rFonts w:eastAsiaTheme="majorEastAsia"/>
        </w:rPr>
        <w:t>Leutnant Gustl</w:t>
      </w:r>
      <w:r>
        <w:t xml:space="preserve"> d’Arthur Schnitzler et </w:t>
      </w:r>
      <w:r>
        <w:rPr>
          <w:rStyle w:val="Accentuation"/>
          <w:rFonts w:eastAsiaTheme="majorEastAsia"/>
        </w:rPr>
        <w:t>Les lauriers sont coupés</w:t>
      </w:r>
      <w:r>
        <w:t xml:space="preserve"> d’Edouard Dujardin. » in : </w:t>
      </w:r>
      <w:r>
        <w:rPr>
          <w:rStyle w:val="Accentuation"/>
          <w:rFonts w:eastAsiaTheme="majorEastAsia"/>
        </w:rPr>
        <w:t>Germanica</w:t>
      </w:r>
      <w:r>
        <w:t xml:space="preserve"> 52/2013, (dir. M. Sforzin et K. Zieger), Les relations d’Arthur Schnitzler avec la France, Lille, 2013, p. 101-112.</w:t>
      </w:r>
    </w:p>
    <w:p w:rsidR="008A397D" w:rsidRDefault="008A397D" w:rsidP="008A397D">
      <w:pPr>
        <w:pStyle w:val="NormalWeb"/>
        <w:jc w:val="both"/>
      </w:pPr>
      <w:r>
        <w:t>"Die Klartexte hinter dem Gerede" Le langage et le texte dans le roman "</w:t>
      </w:r>
      <w:r>
        <w:rPr>
          <w:rStyle w:val="Accentuation"/>
          <w:rFonts w:eastAsiaTheme="majorEastAsia"/>
        </w:rPr>
        <w:t>Ich</w:t>
      </w:r>
      <w:r>
        <w:t xml:space="preserve">" de Wolfgang Hilbig, in : « Ich » </w:t>
      </w:r>
      <w:r>
        <w:rPr>
          <w:rStyle w:val="Accentuation"/>
          <w:rFonts w:eastAsiaTheme="majorEastAsia"/>
        </w:rPr>
        <w:t>de Wolfgang Hilbig. Littérature, identité et faux-semblants</w:t>
      </w:r>
      <w:r>
        <w:t>, Paris, L’Harmattan (coll. « De l’Allemand »), 2013.  </w:t>
      </w:r>
    </w:p>
    <w:p w:rsidR="008A397D" w:rsidRDefault="008A397D" w:rsidP="008A397D">
      <w:pPr>
        <w:pStyle w:val="NormalWeb"/>
        <w:jc w:val="both"/>
      </w:pPr>
      <w:r>
        <w:t>« Le Laocoon de Lessing : Défense et illustration de la poésie par la mise en scène de ses effets. » in : Lessing, la critique et les arts, (dir. J. M. Valentin, A. Beyer), Paris, Maison des Sciences de l'Homme (Collection : Passages/Passagen I), 2014, pp. 43-58.</w:t>
      </w:r>
    </w:p>
    <w:p w:rsidR="008A397D" w:rsidRDefault="008A397D" w:rsidP="008A397D">
      <w:pPr>
        <w:pStyle w:val="NormalWeb"/>
        <w:jc w:val="both"/>
      </w:pPr>
      <w:r w:rsidRPr="008A397D">
        <w:rPr>
          <w:lang w:val="en-US"/>
        </w:rPr>
        <w:t xml:space="preserve">„Wer kann (die) Geschichte schreiben? </w:t>
      </w:r>
      <w:r>
        <w:rPr>
          <w:rStyle w:val="Accentuation"/>
          <w:rFonts w:eastAsiaTheme="majorEastAsia"/>
        </w:rPr>
        <w:t>Erfolg</w:t>
      </w:r>
      <w:r>
        <w:t xml:space="preserve"> von Lion </w:t>
      </w:r>
      <w:proofErr w:type="gramStart"/>
      <w:r>
        <w:t>Feuchtwanger:</w:t>
      </w:r>
      <w:proofErr w:type="gramEnd"/>
      <w:r>
        <w:t xml:space="preserve"> Zeitroman, ‚historische Dichtung‘ oder Künstlerroman ?“ in : Le Texte et l’Idée 29/2015, pp. 127-144.`</w:t>
      </w:r>
    </w:p>
    <w:p w:rsidR="008A397D" w:rsidRDefault="008A397D" w:rsidP="008A397D">
      <w:pPr>
        <w:pStyle w:val="NormalWeb"/>
        <w:jc w:val="both"/>
      </w:pPr>
      <w:r>
        <w:lastRenderedPageBreak/>
        <w:t xml:space="preserve">« De la maison berlinoise aux latrines du camp des Milles : Réflexions sur les lieux d’écriture dans l’œuvre autobiographique de Lion Feuchtwanger durant l’exil. » in : </w:t>
      </w:r>
      <w:r>
        <w:rPr>
          <w:rStyle w:val="Accentuation"/>
          <w:rFonts w:eastAsiaTheme="majorEastAsia"/>
        </w:rPr>
        <w:t>Lieux d’écrture et écriture de lieux. Topographie du réel et de l’imaginaire. Hommages à Anne-Marie Gresser</w:t>
      </w:r>
      <w:r>
        <w:t>, (dir. Bruno Czerny et Eric Leroy du Cardonnoy, Caen, PUC, 2015, pp. 23-32.</w:t>
      </w:r>
    </w:p>
    <w:p w:rsidR="008A397D" w:rsidRPr="008A397D" w:rsidRDefault="008A397D" w:rsidP="008A397D">
      <w:pPr>
        <w:pStyle w:val="NormalWeb"/>
        <w:jc w:val="both"/>
        <w:rPr>
          <w:lang w:val="en-US"/>
        </w:rPr>
      </w:pPr>
      <w:r>
        <w:t>„</w:t>
      </w:r>
      <w:r>
        <w:rPr>
          <w:rStyle w:val="Accentuation"/>
          <w:rFonts w:eastAsiaTheme="majorEastAsia"/>
        </w:rPr>
        <w:t>Die Geschwister Oppermann</w:t>
      </w:r>
      <w:r>
        <w:t xml:space="preserve"> von Lion Feuchtwanger </w:t>
      </w:r>
      <w:proofErr w:type="gramStart"/>
      <w:r>
        <w:t>oder:</w:t>
      </w:r>
      <w:proofErr w:type="gramEnd"/>
      <w:r>
        <w:t xml:space="preserve"> Wie ein Literat über Zeitgeschichte schreibt und  seinen geistreichen Platz in einer geistfeindlichen Zeit findet.“ </w:t>
      </w:r>
      <w:r w:rsidRPr="008A397D">
        <w:rPr>
          <w:lang w:val="en-US"/>
        </w:rPr>
        <w:t xml:space="preserve">In: </w:t>
      </w:r>
      <w:r w:rsidRPr="008A397D">
        <w:rPr>
          <w:rStyle w:val="Accentuation"/>
          <w:rFonts w:eastAsiaTheme="majorEastAsia"/>
          <w:lang w:val="en-US"/>
        </w:rPr>
        <w:t>Feuchtwanger und Berlin</w:t>
      </w:r>
      <w:r w:rsidRPr="008A397D">
        <w:rPr>
          <w:lang w:val="en-US"/>
        </w:rPr>
        <w:t>, Hg, Geoffrey V. Davis, Peter Lang, 2015, Oxford, Peter Lang, (</w:t>
      </w:r>
      <w:r w:rsidRPr="008A397D">
        <w:rPr>
          <w:rStyle w:val="Accentuation"/>
          <w:rFonts w:eastAsiaTheme="majorEastAsia"/>
          <w:lang w:val="en-US"/>
        </w:rPr>
        <w:t>Feuchtwanger Studies, Nr 4</w:t>
      </w:r>
      <w:r w:rsidRPr="008A397D">
        <w:rPr>
          <w:lang w:val="en-US"/>
        </w:rPr>
        <w:t>), pp. 39-58.</w:t>
      </w:r>
    </w:p>
    <w:p w:rsidR="008A397D" w:rsidRDefault="008A397D" w:rsidP="008A397D">
      <w:pPr>
        <w:pStyle w:val="NormalWeb"/>
        <w:jc w:val="both"/>
      </w:pPr>
      <w:r>
        <w:t xml:space="preserve">« G. E. Lessing : </w:t>
      </w:r>
      <w:r>
        <w:rPr>
          <w:rStyle w:val="Accentuation"/>
          <w:rFonts w:eastAsiaTheme="majorEastAsia"/>
        </w:rPr>
        <w:t>Laocoon</w:t>
      </w:r>
      <w:r>
        <w:t xml:space="preserve"> ou Prolégomènes à une pratique de la </w:t>
      </w:r>
      <w:r>
        <w:rPr>
          <w:rStyle w:val="Accentuation"/>
          <w:rFonts w:eastAsiaTheme="majorEastAsia"/>
        </w:rPr>
        <w:t>mimesis </w:t>
      </w:r>
      <w:r>
        <w:t xml:space="preserve">» in : </w:t>
      </w:r>
      <w:r>
        <w:rPr>
          <w:rStyle w:val="Accentuation"/>
          <w:rFonts w:eastAsiaTheme="majorEastAsia"/>
        </w:rPr>
        <w:t>Revue germanique internationale</w:t>
      </w:r>
      <w:r>
        <w:t xml:space="preserve"> 22/2015 (n° dir. par M. Covindassamy, pp. 79-92.</w:t>
      </w:r>
    </w:p>
    <w:p w:rsidR="008A397D" w:rsidRDefault="008A397D" w:rsidP="008A397D">
      <w:pPr>
        <w:pStyle w:val="NormalWeb"/>
        <w:jc w:val="both"/>
      </w:pPr>
      <w:r>
        <w:rPr>
          <w:rStyle w:val="Accentuation"/>
          <w:rFonts w:eastAsiaTheme="majorEastAsia"/>
        </w:rPr>
        <w:t>« W. G. Sebald et la nouvelle : Die</w:t>
      </w:r>
      <w:r>
        <w:t xml:space="preserve"> Ausgewanderten », in : </w:t>
      </w:r>
      <w:r>
        <w:rPr>
          <w:rStyle w:val="Accentuation"/>
          <w:rFonts w:eastAsiaTheme="majorEastAsia"/>
        </w:rPr>
        <w:t>W. G. Sebald. Récit, histoire et biographie dans</w:t>
      </w:r>
      <w:r>
        <w:t xml:space="preserve"> Die Ausgewanderten </w:t>
      </w:r>
      <w:r>
        <w:rPr>
          <w:rStyle w:val="Accentuation"/>
          <w:rFonts w:eastAsiaTheme="majorEastAsia"/>
        </w:rPr>
        <w:t>et</w:t>
      </w:r>
      <w:r>
        <w:t xml:space="preserve"> Austerlitz (dir. F. </w:t>
      </w:r>
      <w:proofErr w:type="gramStart"/>
      <w:r>
        <w:t>Teinturier ,</w:t>
      </w:r>
      <w:proofErr w:type="gramEnd"/>
      <w:r>
        <w:t xml:space="preserve"> M. Convindassamy et S. Arlaud), Paris, L’Harmattan, 2015, pp. 19-44.</w:t>
      </w:r>
    </w:p>
    <w:p w:rsidR="008A397D" w:rsidRDefault="008A397D" w:rsidP="008A397D">
      <w:pPr>
        <w:pStyle w:val="NormalWeb"/>
        <w:jc w:val="both"/>
      </w:pPr>
      <w:r>
        <w:rPr>
          <w:rStyle w:val="lev"/>
          <w:sz w:val="20"/>
          <w:szCs w:val="20"/>
        </w:rPr>
        <w:t>En cours de parution :</w:t>
      </w:r>
    </w:p>
    <w:p w:rsidR="008A397D" w:rsidRDefault="008A397D" w:rsidP="008A397D">
      <w:pPr>
        <w:pStyle w:val="NormalWeb"/>
      </w:pPr>
      <w:r>
        <w:t>« L’orient dans l’œuvre de Lion Feuchtwanger : une présence centrale. » in : Orients et orientalismes dans les pays de langue allemande au XXe siècle, (dir. P. Alexandre et S. Grimm-Hamen), (en cours de parution).</w:t>
      </w:r>
    </w:p>
    <w:p w:rsidR="008A397D" w:rsidRDefault="008A397D" w:rsidP="008A397D">
      <w:pPr>
        <w:pStyle w:val="NormalWeb"/>
      </w:pPr>
      <w:r>
        <w:t xml:space="preserve">« Ein kritischer Abgesang auf den Eigenwert der </w:t>
      </w:r>
      <w:proofErr w:type="gramStart"/>
      <w:r>
        <w:t>Literatur?</w:t>
      </w:r>
      <w:proofErr w:type="gramEnd"/>
      <w:r>
        <w:t xml:space="preserve"> Das Selbstverständnis des Philologen und des Schriftstellers in Lion Feuchtwangers Roman </w:t>
      </w:r>
      <w:r>
        <w:rPr>
          <w:rStyle w:val="Accentuation"/>
          <w:rFonts w:eastAsiaTheme="majorEastAsia"/>
        </w:rPr>
        <w:t>Exil</w:t>
      </w:r>
      <w:r>
        <w:t xml:space="preserve"> im Kontext seines Werks ab 1930. » in : Vom Eigenwert der Literatur (Hg. Andrea Bartl)</w:t>
      </w:r>
    </w:p>
    <w:p w:rsidR="008A397D" w:rsidRDefault="008A397D" w:rsidP="008A397D">
      <w:pPr>
        <w:pStyle w:val="NormalWeb"/>
      </w:pPr>
      <w:r>
        <w:t xml:space="preserve">« Don Juan parodié au xxe siècle : </w:t>
      </w:r>
      <w:r>
        <w:rPr>
          <w:rStyle w:val="Accentuation"/>
          <w:rFonts w:eastAsiaTheme="majorEastAsia"/>
        </w:rPr>
        <w:t>Don Juan oder die Liebe zur Geometrie</w:t>
      </w:r>
      <w:r>
        <w:t xml:space="preserve"> (1953) de Max Frisch </w:t>
      </w:r>
      <w:r>
        <w:rPr>
          <w:sz w:val="20"/>
          <w:szCs w:val="20"/>
        </w:rPr>
        <w:t xml:space="preserve">et </w:t>
      </w:r>
      <w:r>
        <w:rPr>
          <w:rStyle w:val="Accentuation"/>
          <w:rFonts w:eastAsiaTheme="majorEastAsia"/>
          <w:sz w:val="20"/>
          <w:szCs w:val="20"/>
        </w:rPr>
        <w:t xml:space="preserve">Don Juan kommt aus dem Krieg </w:t>
      </w:r>
      <w:r>
        <w:rPr>
          <w:sz w:val="20"/>
          <w:szCs w:val="20"/>
        </w:rPr>
        <w:t>(1935) de Ödön von Horvath », in : Actes du colloque international La parodie dramatique du XVI</w:t>
      </w:r>
      <w:r>
        <w:rPr>
          <w:vertAlign w:val="superscript"/>
        </w:rPr>
        <w:t>e</w:t>
      </w:r>
      <w:r>
        <w:rPr>
          <w:sz w:val="20"/>
          <w:szCs w:val="20"/>
        </w:rPr>
        <w:t xml:space="preserve"> siècle à nos jours : théories, procédés, enjeux (Université de Valenciennes 9-11 décembre 2015).</w:t>
      </w:r>
    </w:p>
    <w:p w:rsidR="008A397D" w:rsidRPr="008A397D" w:rsidRDefault="008A397D" w:rsidP="008A397D">
      <w:pPr>
        <w:pStyle w:val="NormalWeb"/>
        <w:rPr>
          <w:lang w:val="en-US"/>
        </w:rPr>
      </w:pPr>
      <w:r w:rsidRPr="008A397D">
        <w:rPr>
          <w:lang w:val="en-US"/>
        </w:rPr>
        <w:t xml:space="preserve">« „Mein lieber Antipode...“ Heinrich Manns Briefe an Ludwig Ewers (1889-1894) », in </w:t>
      </w:r>
      <w:r w:rsidRPr="008A397D">
        <w:rPr>
          <w:rStyle w:val="Accentuation"/>
          <w:rFonts w:eastAsiaTheme="majorEastAsia"/>
          <w:lang w:val="en-US"/>
        </w:rPr>
        <w:t>Cahiers D’Etudes Germaniques</w:t>
      </w:r>
      <w:r w:rsidRPr="008A397D">
        <w:rPr>
          <w:lang w:val="en-US"/>
        </w:rPr>
        <w:t xml:space="preserve"> 71/2016.</w:t>
      </w:r>
    </w:p>
    <w:p w:rsidR="008A397D" w:rsidRPr="008A397D" w:rsidRDefault="008A397D" w:rsidP="008A397D">
      <w:pPr>
        <w:pStyle w:val="NormalWeb"/>
        <w:ind w:left="360"/>
        <w:rPr>
          <w:lang w:val="en-US"/>
        </w:rPr>
      </w:pPr>
    </w:p>
    <w:p w:rsidR="008A397D" w:rsidRDefault="008A397D" w:rsidP="008A397D">
      <w:pPr>
        <w:pStyle w:val="Titre3"/>
        <w:jc w:val="center"/>
      </w:pPr>
      <w:r>
        <w:rPr>
          <w:rStyle w:val="lev"/>
          <w:rFonts w:ascii="Verdana" w:hAnsi="Verdana"/>
          <w:b/>
          <w:bCs/>
          <w:sz w:val="21"/>
          <w:szCs w:val="21"/>
        </w:rPr>
        <w:t xml:space="preserve">Communications </w:t>
      </w:r>
    </w:p>
    <w:p w:rsidR="008A397D" w:rsidRDefault="008A397D" w:rsidP="008A397D">
      <w:pPr>
        <w:pStyle w:val="NormalWeb"/>
      </w:pPr>
    </w:p>
    <w:p w:rsidR="008A397D" w:rsidRDefault="008A397D" w:rsidP="008A397D">
      <w:pPr>
        <w:pStyle w:val="NormalWeb"/>
        <w:jc w:val="both"/>
      </w:pPr>
      <w:r>
        <w:t xml:space="preserve"> « Théâtre et théâtralité dans le roman </w:t>
      </w:r>
      <w:r>
        <w:rPr>
          <w:rStyle w:val="Accentuation"/>
          <w:rFonts w:eastAsiaTheme="majorEastAsia"/>
        </w:rPr>
        <w:t>Der Untertan</w:t>
      </w:r>
      <w:r>
        <w:t xml:space="preserve"> d’Heinrich Mann </w:t>
      </w:r>
      <w:proofErr w:type="gramStart"/>
      <w:r>
        <w:t>»:</w:t>
      </w:r>
      <w:proofErr w:type="gramEnd"/>
      <w:r>
        <w:t xml:space="preserve"> Série de </w:t>
      </w:r>
      <w:r>
        <w:rPr>
          <w:rStyle w:val="lev"/>
        </w:rPr>
        <w:t>conférences</w:t>
      </w:r>
      <w:r>
        <w:t>, tenues dans les universités suivantes : Bordeaux III, Paris IV, Metz, Nancy II et Strasbourg II (à l’invitation de la Société Goethe de France, dir. Raymond Heitz), janvier-février 2009.</w:t>
      </w:r>
    </w:p>
    <w:p w:rsidR="008A397D" w:rsidRDefault="008A397D" w:rsidP="008A397D">
      <w:pPr>
        <w:pStyle w:val="NormalWeb"/>
        <w:jc w:val="both"/>
      </w:pPr>
      <w:r>
        <w:t xml:space="preserve">« Le </w:t>
      </w:r>
      <w:r>
        <w:rPr>
          <w:rStyle w:val="Accentuation"/>
          <w:rFonts w:eastAsiaTheme="majorEastAsia"/>
        </w:rPr>
        <w:t>Laocoon</w:t>
      </w:r>
      <w:r>
        <w:t xml:space="preserve"> de Lessing », Conférence tenue en avril 2012 à Marseille, à l’invitation de l’association AEPHAE association euroméditerranéenne pour l’histoire de l’art et l’esthétique, dir. Jean-Noël Bret.</w:t>
      </w:r>
    </w:p>
    <w:p w:rsidR="008A397D" w:rsidRDefault="008A397D" w:rsidP="008A397D">
      <w:pPr>
        <w:pStyle w:val="NormalWeb"/>
        <w:jc w:val="both"/>
      </w:pPr>
      <w:r>
        <w:lastRenderedPageBreak/>
        <w:t xml:space="preserve">« Le </w:t>
      </w:r>
      <w:r>
        <w:rPr>
          <w:rStyle w:val="Accentuation"/>
          <w:rFonts w:eastAsiaTheme="majorEastAsia"/>
        </w:rPr>
        <w:t>Laocoon</w:t>
      </w:r>
      <w:r>
        <w:t xml:space="preserve"> de Lessing », Conférence tenue en mai 2013 à Nancy</w:t>
      </w:r>
      <w:r>
        <w:rPr>
          <w:rStyle w:val="Accentuation"/>
          <w:rFonts w:eastAsiaTheme="majorEastAsia"/>
        </w:rPr>
        <w:t>,</w:t>
      </w:r>
      <w:r>
        <w:t xml:space="preserve"> à l’invitation de l’association « Vies à vies », dir. E. Méchin.</w:t>
      </w:r>
    </w:p>
    <w:p w:rsidR="0090377F" w:rsidRPr="008A397D" w:rsidRDefault="0090377F" w:rsidP="008A397D"/>
    <w:sectPr w:rsidR="0090377F" w:rsidRPr="008A3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741A2"/>
    <w:multiLevelType w:val="multilevel"/>
    <w:tmpl w:val="326EF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D223D"/>
    <w:multiLevelType w:val="multilevel"/>
    <w:tmpl w:val="7DD61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A4121"/>
    <w:multiLevelType w:val="multilevel"/>
    <w:tmpl w:val="7DBC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460E89"/>
    <w:multiLevelType w:val="multilevel"/>
    <w:tmpl w:val="BBA0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5944E1"/>
    <w:multiLevelType w:val="multilevel"/>
    <w:tmpl w:val="4592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61096C"/>
    <w:multiLevelType w:val="multilevel"/>
    <w:tmpl w:val="3A68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E448B"/>
    <w:multiLevelType w:val="multilevel"/>
    <w:tmpl w:val="AC2C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C5C2F"/>
    <w:multiLevelType w:val="multilevel"/>
    <w:tmpl w:val="7984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467644"/>
    <w:multiLevelType w:val="multilevel"/>
    <w:tmpl w:val="C296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3337B1"/>
    <w:multiLevelType w:val="multilevel"/>
    <w:tmpl w:val="906AD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734A11"/>
    <w:multiLevelType w:val="multilevel"/>
    <w:tmpl w:val="4488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7867A6"/>
    <w:multiLevelType w:val="multilevel"/>
    <w:tmpl w:val="3108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88618C"/>
    <w:multiLevelType w:val="multilevel"/>
    <w:tmpl w:val="19E25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DA7F2A"/>
    <w:multiLevelType w:val="multilevel"/>
    <w:tmpl w:val="826CF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5B0B6E"/>
    <w:multiLevelType w:val="multilevel"/>
    <w:tmpl w:val="4720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A4651F"/>
    <w:multiLevelType w:val="multilevel"/>
    <w:tmpl w:val="3042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6F5B11"/>
    <w:multiLevelType w:val="multilevel"/>
    <w:tmpl w:val="D83E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B10161"/>
    <w:multiLevelType w:val="multilevel"/>
    <w:tmpl w:val="27F89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5F0838"/>
    <w:multiLevelType w:val="multilevel"/>
    <w:tmpl w:val="0FA4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512412"/>
    <w:multiLevelType w:val="multilevel"/>
    <w:tmpl w:val="E600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B171CA"/>
    <w:multiLevelType w:val="multilevel"/>
    <w:tmpl w:val="4968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20"/>
  </w:num>
  <w:num w:numId="4">
    <w:abstractNumId w:val="7"/>
  </w:num>
  <w:num w:numId="5">
    <w:abstractNumId w:val="3"/>
  </w:num>
  <w:num w:numId="6">
    <w:abstractNumId w:val="18"/>
  </w:num>
  <w:num w:numId="7">
    <w:abstractNumId w:val="11"/>
  </w:num>
  <w:num w:numId="8">
    <w:abstractNumId w:val="16"/>
  </w:num>
  <w:num w:numId="9">
    <w:abstractNumId w:val="2"/>
  </w:num>
  <w:num w:numId="10">
    <w:abstractNumId w:val="4"/>
  </w:num>
  <w:num w:numId="11">
    <w:abstractNumId w:val="1"/>
  </w:num>
  <w:num w:numId="12">
    <w:abstractNumId w:val="9"/>
  </w:num>
  <w:num w:numId="13">
    <w:abstractNumId w:val="17"/>
  </w:num>
  <w:num w:numId="14">
    <w:abstractNumId w:val="13"/>
  </w:num>
  <w:num w:numId="15">
    <w:abstractNumId w:val="13"/>
    <w:lvlOverride w:ilvl="0">
      <w:startOverride w:val="2"/>
    </w:lvlOverride>
  </w:num>
  <w:num w:numId="16">
    <w:abstractNumId w:val="13"/>
    <w:lvlOverride w:ilvl="0">
      <w:startOverride w:val="3"/>
    </w:lvlOverride>
  </w:num>
  <w:num w:numId="17">
    <w:abstractNumId w:val="13"/>
    <w:lvlOverride w:ilvl="0">
      <w:startOverride w:val="4"/>
    </w:lvlOverride>
  </w:num>
  <w:num w:numId="18">
    <w:abstractNumId w:val="13"/>
    <w:lvlOverride w:ilvl="0">
      <w:startOverride w:val="5"/>
    </w:lvlOverride>
  </w:num>
  <w:num w:numId="19">
    <w:abstractNumId w:val="12"/>
  </w:num>
  <w:num w:numId="20">
    <w:abstractNumId w:val="8"/>
  </w:num>
  <w:num w:numId="21">
    <w:abstractNumId w:val="6"/>
  </w:num>
  <w:num w:numId="22">
    <w:abstractNumId w:val="19"/>
  </w:num>
  <w:num w:numId="23">
    <w:abstractNumId w:val="15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0D"/>
    <w:rsid w:val="002C3A84"/>
    <w:rsid w:val="008A397D"/>
    <w:rsid w:val="0090377F"/>
    <w:rsid w:val="00903E74"/>
    <w:rsid w:val="00983098"/>
    <w:rsid w:val="009963B5"/>
    <w:rsid w:val="00A643EF"/>
    <w:rsid w:val="00CD62E7"/>
    <w:rsid w:val="00E37F7F"/>
    <w:rsid w:val="00E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D8FEB-FE11-417A-8CAE-84496EC1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37F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E538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63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5380D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E53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Accentuation">
    <w:name w:val="Emphasis"/>
    <w:basedOn w:val="Policepardfaut"/>
    <w:uiPriority w:val="20"/>
    <w:qFormat/>
    <w:rsid w:val="00E5380D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E37F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E37F7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CD62E7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9963B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1603</Words>
  <Characters>8817</Characters>
  <Application>Microsoft Office Word</Application>
  <DocSecurity>0</DocSecurity>
  <Lines>73</Lines>
  <Paragraphs>20</Paragraphs>
  <ScaleCrop>false</ScaleCrop>
  <Company/>
  <LinksUpToDate>false</LinksUpToDate>
  <CharactersWithSpaces>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Champenois</dc:creator>
  <cp:keywords/>
  <dc:description/>
  <cp:lastModifiedBy>Rebecca Champenois</cp:lastModifiedBy>
  <cp:revision>2</cp:revision>
  <dcterms:created xsi:type="dcterms:W3CDTF">2020-07-22T12:25:00Z</dcterms:created>
  <dcterms:modified xsi:type="dcterms:W3CDTF">2020-07-22T12:25:00Z</dcterms:modified>
</cp:coreProperties>
</file>