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275" w:rsidRPr="001C2275" w:rsidRDefault="001C2275" w:rsidP="001C2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C2275">
        <w:rPr>
          <w:rFonts w:ascii="Verdana" w:eastAsia="Times New Roman" w:hAnsi="Verdana" w:cs="Times New Roman"/>
          <w:b/>
          <w:bCs/>
          <w:sz w:val="21"/>
          <w:szCs w:val="21"/>
          <w:lang w:eastAsia="fr-FR"/>
        </w:rPr>
        <w:t>Livres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Abraham </w:t>
      </w:r>
      <w:proofErr w:type="gram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a</w:t>
      </w:r>
      <w:proofErr w:type="gram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Sancta Clara. Pastorale et discours politique dans l’Autriche du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xviie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siècle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Berne: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P. Lang, 1993, 318 p.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Les pamphlétaires allemands et la France de Louis XIV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Berne: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P. Lang, 1999, 720 p.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3.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Saint-Empire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Paris : Ellipses, 2002, 156 p.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C2275">
        <w:rPr>
          <w:rFonts w:ascii="Verdana" w:eastAsia="Times New Roman" w:hAnsi="Verdana" w:cs="Times New Roman"/>
          <w:b/>
          <w:bCs/>
          <w:sz w:val="21"/>
          <w:szCs w:val="21"/>
          <w:lang w:eastAsia="fr-FR"/>
        </w:rPr>
        <w:t>Direction d’ouvrages collectifs</w:t>
      </w:r>
    </w:p>
    <w:p w:rsidR="001C2275" w:rsidRPr="001C2275" w:rsidRDefault="001C2275" w:rsidP="001C227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Martin Luther et les débuts de la Réforme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Nancy: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Bibliothèque le Texte et l’Idée vol. IX, 2001, 152 p.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Barbare. Images phobiques et réflexion sur l’altérité dans la culture européenne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(en collaboration avec Ph. 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Alexandre), Berne : P. Lang, 2008, 372p.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3.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Der Narr in der deutschen Literatur im Mittelalter und in der Frühen Neuzeit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, Berne : P. Lang, 2009, 327 p. (Jahrbuch für Internationale Germanistik– Reihe A–Band 96)</w:t>
      </w:r>
    </w:p>
    <w:p w:rsidR="001C2275" w:rsidRPr="001C2275" w:rsidRDefault="001C2275" w:rsidP="001C227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C2275">
        <w:rPr>
          <w:rFonts w:ascii="Verdana" w:eastAsia="Times New Roman" w:hAnsi="Verdana" w:cs="Times New Roman"/>
          <w:b/>
          <w:bCs/>
          <w:sz w:val="21"/>
          <w:szCs w:val="21"/>
          <w:lang w:eastAsia="fr-FR"/>
        </w:rPr>
        <w:t>Articles</w:t>
      </w:r>
    </w:p>
    <w:p w:rsidR="001C2275" w:rsidRPr="001C2275" w:rsidRDefault="001C2275" w:rsidP="001C227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1. « L'image du Turc dans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Auff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auff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Ihr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gram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Christen!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d'Abraham a Sancta Clara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Cahiers de la Méditerranée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n°28, juin 1984, p. 43-59.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2. « Politique et religion chez les apologistes de l'Autriche au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xviie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siècle 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» ,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France-Autriche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Publications de l’Université de Rouen, n°147, 1989, p.53-62.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lastRenderedPageBreak/>
        <w:t>3. « Abraham a Sancta Clara et l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'«affaire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» Heidegger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Commentaire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n°49, 1990, p. 174-179.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4. « Besançon entre les Habsbourg et la France (1654-1674)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Publications de la Faculté des Lettres et Sciences Humaines de Nice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n°2, Nouvelle Série, 1990, p. 13-27.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5. « Ulrich von Hutten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Dialogues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Encyclopédie Philosophique Universelle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t. 3/1, Paris : PUF, 1992, col. 592-593.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6. « Abraham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a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Sancta Clara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Avertissement aux Viennois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Encyclopédie Philosophique Universelle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t. 3/1, Paris : PUF, 1992, col. 911-912.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7. « 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Jeremias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Drexel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Héliotrope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Encyclopédie Philosophique Universelle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t. 3/1, Paris : PUF, 1992, col. 1103-1104.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8. « Martin de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Cochem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Petit livre sur Dieu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 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» ,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Encyclopédie Philosophique Universelle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t. 3/1, Paris : PUF, 1992, col. 1328-1329.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9. « La Franche-Comté et les enjeux diplomatiques européens au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xviie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siècle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Revue d'Histoire Moderne et Contemporaine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. t. XXXIX, octobre-décembre 1992, p. 531-550.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10. « Aspects du Jansénisme dans les Pays Autrichiens »,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in: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Gertrude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Stolwitzer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Mozart et son temps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Nice, 1993, p. 51-65.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11. « Der Tyrann Ludwig XIV. in den deutschen Flugschriften des 17. Jahrhunderts », in: Jean-Daniel Krebs (Dir.),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Die Affekte und ihre Repräsentation in der deutschen Literatur der Frühen Neuzeit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, Bern: P. Lang, 1996, p. 230-246.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12. « Das Heilige Römische Reich Deutscher Nation », in: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 xml:space="preserve">Kultur-Mosaik.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Repères de culture générale en langue allemande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ouvrage collectif,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Paris: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Ellipses, 1997, p. 77-94.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13. « La spécularité des stéréotypes et des images phobiques dans les relations franco-allemandes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Nouveaux Cahiers d’Allemand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n°17, 1999, p.85-97.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lastRenderedPageBreak/>
        <w:t xml:space="preserve">14. « Le thème du Rhin chez les pamphlétaires allemands du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xviie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siècle »,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Etudes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Germaniques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 54, 3/1999, p. 365-389.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15. « J. M. Moscherosch, Frankreich und die Gallomanie der Deutschen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Simpliciana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, XXII, 2000, p. 227-245.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16. « Luther polémiste et pamphlétaire »,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in: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J.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Schillinger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Martin Luther et les débuts de la Réforme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Nancy: Bibliothèque le Texte et l’Idée, 2001, p. 125-150.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17. « Luther et l’idée d’Empire »,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in: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Jean-Marie Valentin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Luther et la Réforme. Du commentaire de l’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Epître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aux Romains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à la Messe allemande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Paris: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Desjonquères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2001, p. 109-129.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18. « Le Saint-Empire face à la menace ottomane (1526-1568) », in : Jean-Paul Cahn et Gérard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Schneilin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Luther et la Réforme 1525-1555. Le temps de la consolidation religieuse et politique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Paris : Ed.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du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Temps, 2001, p. 33-47.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19. « Positions pamphlétaires dans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Mars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Christianissimus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de G.E. Leibniz »,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Texte et l’Idée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 16, 2001, p. 7-39.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20. « Franzosen und Türken in deutschen Flugschriften des 17. Jahrhunderts », in : Wolfgang Harms et Alfred Messerli (Dirs),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Wahrnehmungsgeschichte und Wissensdiskurs im illustrierten Flugblatt de Frühen Neuzeit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, Basel : Schwabe, 2002, p. 169-187.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21. « Parénèse et divertissement littéraire : le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Narrennest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d’Abraham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a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Sancta Clara »,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Etudes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Germaniques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 58, 3/2003, p. 387-428.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22. « Sebastian Brant et la doctrine de la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translatio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imperii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Texte et l’Idée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 18, 2003, p. 7-37.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23. « Abraham a Sancta Clara et la catholicité de l’Autriche »,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in: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Philippe Alexandre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Religions, nations, identités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Nancy : PUN, 2004, p. 19-33.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24. « La France Turque. Un aspect de la propagande anti-française en Allemagne dans la seconde moitié du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xviie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 siècle », in : Sophie Basch, André Guyaux et Gilbert Salmon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Orients littéraires (Mélanges offerts à Jacques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Huré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)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Paris : Champion, 2004, p. 437-453.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25. « L’image de la société chrétienne dans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Etwas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für Alle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d’Abraham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a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Sancta Clara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Recherches Germaniques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n°34, 2004, p. 1-30.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26. « Le combat contre l’hégémonie linguistique française chez les pamphlétaires allemands de la seconde moitié du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xviie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siècle », in : Marie-Sol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Ortola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et Marie Roig Miranda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Langues et identités culturelles dans l’Europe des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et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siècles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Nancy, 2005 (« Europe xvi-xvii », n° 7), t. 1, p.369-386.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27. « La mort dans le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Simplicissimus 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de Grimmelshausen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Texte et l’Idée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 20, 2005, p. 159-188.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28. « Le miroir du prince dans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Etwas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für Alle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d’Abraham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a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Sancta Clara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Texte et l’Idée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n°22, 2006, p. 165-193.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29. « Formen der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Narrheit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in Cervantes’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Don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Quixote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Sorels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Francion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und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Grimmelshausens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Simplicissimus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 », in :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Simpliciana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XXIX, 2007, p. 147-162.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30. « L’Antiquité dans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Julius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Redivivus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de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Nicodemus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Frischlin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(1585) », in : Marie-Sol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Ortola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et Marie Roig Miranda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Mémoire - Récit - Histoire dans l’Europe des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et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siècles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Nancy, 2007 (« Europe xvi-xvii », n° 10), t. 1, p. 81-113.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31. « 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Vos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barbaros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esse minime credo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 Stratégies d’humanistes allemands face à un stéréotype italien », in : Jean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Schillinger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et Philippe Alexandre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Barbare. Images phobiques et réflexions sur l’altérité dans la culture européenne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Berne : P. Lang, 2008, p. 93-115.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32. « Der Türkenkrieg im Werk Sebastian Brants », in : Hans-Gert Roloff, Jean-Marie Valentin et Volkhard Wels (Dirs),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Sebastian Brant (1457-1521)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, Berlin : Weidler, 2008 (Memoria 7), p. 170-201.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33. « Narr und Narrheit in der konfessionellen Polemik: Thomas Murners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Großer Lutherischer Narr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 xml:space="preserve"> », in: Jean Schillinger (Dir.),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val="de-DE" w:eastAsia="fr-FR"/>
        </w:rPr>
        <w:t>Der Narr in der deutschen Literatur im Mittelalter und in der Frühen Neuzeit</w:t>
      </w:r>
      <w:r w:rsidRPr="001C2275">
        <w:rPr>
          <w:rFonts w:ascii="Verdana" w:eastAsia="Times New Roman" w:hAnsi="Verdana" w:cs="Times New Roman"/>
          <w:sz w:val="18"/>
          <w:szCs w:val="18"/>
          <w:lang w:val="de-DE" w:eastAsia="fr-FR"/>
        </w:rPr>
        <w:t>, Berne : P. Lang, 2009, p. 83-102.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34. « 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Simplicissimi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erotische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Abenteuer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in Paris », in :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Simpliciana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XXXI, 2009, p. 161-181.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lastRenderedPageBreak/>
        <w:t xml:space="preserve">35. « Richesse et pauvreté dans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Etwas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für Alle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d’Abraham </w:t>
      </w:r>
      <w:proofErr w:type="gram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a</w:t>
      </w:r>
      <w:proofErr w:type="gram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Sancta Clara », in : Cécile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Huchard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et Marie Roig Miranda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Réalités et représentations de la richesse dans l’Europe des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 xml:space="preserve">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et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xvii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siècles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Nancy, 2010, p. 121-149.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36. « Les pamphlets anti-français en Allemagne à l’époque de la guerre de Succession d’Espagne », in :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Gallophilie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und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Gallophobie in der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Literatur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und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den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Medien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in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Deutschland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und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in Italien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im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18.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Jahrhundert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/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Gallophilie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et gallophobie dans la littérature et les médias en Allemagne et en Italie au XVIII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siècle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études réunies par Raymond Heitz, York-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Gothart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Mix, Jean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Mondot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, Heidelberg :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Universitätsverlag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Winter, 2011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Germanisch-Romanische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Monatsschrift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 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Beiheft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40), p. 53-72.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37. « La Monarchie universelle française dans les pamphlets allemands entre 1672 et 1715 », in : Pierre Bonnet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.),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Littérature de contestation : Pamphlets et polémiques du règne de Louis XIV aux Lumières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Paris : Le Manuscrit, 2011, p. 89-116.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38. « L’éloge de Léopold I</w:t>
      </w:r>
      <w:r w:rsidRPr="001C2275">
        <w:rPr>
          <w:rFonts w:ascii="Verdana" w:eastAsia="Times New Roman" w:hAnsi="Verdana" w:cs="Times New Roman"/>
          <w:sz w:val="18"/>
          <w:szCs w:val="18"/>
          <w:vertAlign w:val="superscript"/>
          <w:lang w:eastAsia="fr-FR"/>
        </w:rPr>
        <w:t>er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dans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Sophonisbe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de Lohenstein », in :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Texte et l’Idée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n° 25, 2011, p. 159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noBreakHyphen/>
        <w:t>187.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39. « Le corps grotesque dans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Le grand fou luthérien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 de Thomas Murner (1522) », in : Mary-Nelly Fouligny et Marie Roig Miranda (</w:t>
      </w:r>
      <w:proofErr w:type="spellStart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Dirs</w:t>
      </w:r>
      <w:proofErr w:type="spellEnd"/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 xml:space="preserve">),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Réalités et représentations du corps dans l’Europe des </w:t>
      </w:r>
      <w:proofErr w:type="spellStart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des</w:t>
      </w:r>
      <w:proofErr w:type="spellEnd"/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XVI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 xml:space="preserve">e 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>et XVII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vertAlign w:val="superscript"/>
          <w:lang w:eastAsia="fr-FR"/>
        </w:rPr>
        <w:t>e</w:t>
      </w:r>
      <w:r w:rsidRPr="001C2275">
        <w:rPr>
          <w:rFonts w:ascii="Verdana" w:eastAsia="Times New Roman" w:hAnsi="Verdana" w:cs="Times New Roman"/>
          <w:i/>
          <w:iCs/>
          <w:sz w:val="18"/>
          <w:szCs w:val="18"/>
          <w:lang w:eastAsia="fr-FR"/>
        </w:rPr>
        <w:t xml:space="preserve"> siècles</w:t>
      </w:r>
      <w:r w:rsidRPr="001C2275">
        <w:rPr>
          <w:rFonts w:ascii="Verdana" w:eastAsia="Times New Roman" w:hAnsi="Verdana" w:cs="Times New Roman"/>
          <w:sz w:val="18"/>
          <w:szCs w:val="18"/>
          <w:lang w:eastAsia="fr-FR"/>
        </w:rPr>
        <w:t>, Nancy, 2011, t. 2, p. 303-321.</w:t>
      </w:r>
    </w:p>
    <w:p w:rsidR="001C2275" w:rsidRPr="001C2275" w:rsidRDefault="001C2275" w:rsidP="001C22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2275" w:rsidRPr="001C2275" w:rsidRDefault="001C2275" w:rsidP="001C227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8698F" w:rsidRDefault="0068698F">
      <w:bookmarkStart w:id="0" w:name="_GoBack"/>
      <w:bookmarkEnd w:id="0"/>
    </w:p>
    <w:sectPr w:rsidR="0068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75"/>
    <w:rsid w:val="001C2275"/>
    <w:rsid w:val="00373F20"/>
    <w:rsid w:val="0068698F"/>
    <w:rsid w:val="00B27B42"/>
    <w:rsid w:val="00BD1DBD"/>
    <w:rsid w:val="00F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D7F6-40F6-48E4-A798-4B69F658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C2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C227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C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C2275"/>
    <w:rPr>
      <w:b/>
      <w:bCs/>
    </w:rPr>
  </w:style>
  <w:style w:type="character" w:styleId="Accentuation">
    <w:name w:val="Emphasis"/>
    <w:basedOn w:val="Policepardfaut"/>
    <w:uiPriority w:val="20"/>
    <w:qFormat/>
    <w:rsid w:val="001C2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1</cp:revision>
  <dcterms:created xsi:type="dcterms:W3CDTF">2022-02-22T14:33:00Z</dcterms:created>
  <dcterms:modified xsi:type="dcterms:W3CDTF">2022-02-22T14:34:00Z</dcterms:modified>
</cp:coreProperties>
</file>