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5055" w:rsidRDefault="00115055" w:rsidP="00115055"/>
    <w:p w:rsidR="00115055" w:rsidRPr="00115055" w:rsidRDefault="00115055" w:rsidP="00115055">
      <w:pPr>
        <w:pStyle w:val="Titre3"/>
        <w:jc w:val="center"/>
        <w:rPr>
          <w:lang w:val="en-US"/>
        </w:rPr>
      </w:pPr>
      <w:r w:rsidRPr="00115055">
        <w:rPr>
          <w:rStyle w:val="lev"/>
          <w:b/>
          <w:bCs/>
          <w:lang w:val="en-US"/>
        </w:rPr>
        <w:t>Monographies</w:t>
      </w:r>
    </w:p>
    <w:p w:rsidR="00115055" w:rsidRPr="00115055" w:rsidRDefault="00115055" w:rsidP="00115055">
      <w:pPr>
        <w:pStyle w:val="NormalWeb"/>
        <w:jc w:val="center"/>
        <w:rPr>
          <w:lang w:val="en-US"/>
        </w:rPr>
      </w:pPr>
    </w:p>
    <w:p w:rsidR="00115055" w:rsidRPr="00115055" w:rsidRDefault="00115055" w:rsidP="00115055">
      <w:pPr>
        <w:pStyle w:val="NormalWeb"/>
        <w:ind w:left="600"/>
        <w:rPr>
          <w:lang w:val="en-US"/>
        </w:rPr>
      </w:pPr>
      <w:r w:rsidRPr="00115055">
        <w:rPr>
          <w:lang w:val="en-US"/>
        </w:rPr>
        <w:t>1. </w:t>
      </w:r>
      <w:r w:rsidRPr="00115055">
        <w:rPr>
          <w:rStyle w:val="Accentuation"/>
          <w:lang w:val="en-US"/>
        </w:rPr>
        <w:t>Der Schriftsteller Peter Weiss und Schweden</w:t>
      </w:r>
      <w:r w:rsidRPr="00115055">
        <w:rPr>
          <w:lang w:val="en-US"/>
        </w:rPr>
        <w:t>, St Ingbert, J. Röhrig Verlag, 1997.</w:t>
      </w:r>
    </w:p>
    <w:p w:rsidR="00115055" w:rsidRDefault="00115055" w:rsidP="00115055">
      <w:pPr>
        <w:pStyle w:val="NormalWeb"/>
        <w:ind w:left="600"/>
      </w:pPr>
      <w:r>
        <w:t xml:space="preserve">2. </w:t>
      </w:r>
      <w:r>
        <w:rPr>
          <w:rStyle w:val="Accentuation"/>
        </w:rPr>
        <w:t>Le reportage d’écrivain. Etude d’un phénomène littéraire à partir de textes suédois et d’autres textes scandinaves</w:t>
      </w:r>
      <w:r>
        <w:t xml:space="preserve">, Bern, Frankfurt </w:t>
      </w:r>
      <w:proofErr w:type="spellStart"/>
      <w:r>
        <w:t>am</w:t>
      </w:r>
      <w:proofErr w:type="spellEnd"/>
      <w:r>
        <w:t xml:space="preserve"> Main, Peter Lang, 2004.</w:t>
      </w:r>
    </w:p>
    <w:p w:rsidR="00115055" w:rsidRDefault="00115055" w:rsidP="00115055">
      <w:pPr>
        <w:pStyle w:val="NormalWeb"/>
      </w:pPr>
    </w:p>
    <w:p w:rsidR="00115055" w:rsidRDefault="00115055" w:rsidP="00115055">
      <w:pPr>
        <w:pStyle w:val="Titre3"/>
        <w:jc w:val="center"/>
      </w:pPr>
      <w:r>
        <w:rPr>
          <w:rStyle w:val="lev"/>
          <w:b/>
          <w:bCs/>
        </w:rPr>
        <w:t>Ouvrages collectifs</w:t>
      </w:r>
    </w:p>
    <w:p w:rsidR="00115055" w:rsidRDefault="00115055" w:rsidP="00115055">
      <w:pPr>
        <w:pStyle w:val="NormalWeb"/>
      </w:pPr>
    </w:p>
    <w:p w:rsidR="00115055" w:rsidRDefault="00115055" w:rsidP="00115055">
      <w:pPr>
        <w:pStyle w:val="NormalWeb"/>
        <w:ind w:left="600"/>
      </w:pPr>
      <w:r>
        <w:t xml:space="preserve">1. Edition, avec Marc </w:t>
      </w:r>
      <w:proofErr w:type="spellStart"/>
      <w:r>
        <w:t>Auchet</w:t>
      </w:r>
      <w:proofErr w:type="spellEnd"/>
      <w:r>
        <w:t xml:space="preserve">, de </w:t>
      </w:r>
      <w:r>
        <w:rPr>
          <w:rStyle w:val="Accentuation"/>
        </w:rPr>
        <w:t>Les pays nordiques dans le contexte de la Baltique</w:t>
      </w:r>
      <w:r>
        <w:t>, Nancy, Presses Universitaires de Nancy, 2001.</w:t>
      </w:r>
    </w:p>
    <w:p w:rsidR="00115055" w:rsidRDefault="00115055" w:rsidP="00115055">
      <w:pPr>
        <w:pStyle w:val="NormalWeb"/>
        <w:ind w:left="600"/>
      </w:pPr>
      <w:r>
        <w:t xml:space="preserve">2. Edition, avec Konrad Harrer et </w:t>
      </w:r>
      <w:proofErr w:type="spellStart"/>
      <w:r>
        <w:t>Jørgen</w:t>
      </w:r>
      <w:proofErr w:type="spellEnd"/>
      <w:r>
        <w:t xml:space="preserve"> Stender </w:t>
      </w:r>
      <w:proofErr w:type="spellStart"/>
      <w:r>
        <w:t>Clausen</w:t>
      </w:r>
      <w:proofErr w:type="spellEnd"/>
      <w:r>
        <w:t xml:space="preserve">, de : </w:t>
      </w:r>
      <w:r>
        <w:rPr>
          <w:rStyle w:val="Accentuation"/>
        </w:rPr>
        <w:t>Grands courants d’échanges intellectuels : Georg Brandes et la France, l’Allemagne, l’Angleterre. Actes de la Deuxième Conférence Internationale Georg Brandes (Nancy, 13-15 novembre 2008)</w:t>
      </w:r>
      <w:r>
        <w:t>, Bern, Peter Lang, 2009.</w:t>
      </w:r>
    </w:p>
    <w:p w:rsidR="00115055" w:rsidRPr="00115055" w:rsidRDefault="00115055" w:rsidP="00115055">
      <w:pPr>
        <w:pStyle w:val="NormalWeb"/>
        <w:spacing w:line="300" w:lineRule="atLeast"/>
        <w:ind w:left="600"/>
        <w:rPr>
          <w:sz w:val="20"/>
          <w:szCs w:val="20"/>
          <w:lang w:val="en-US"/>
        </w:rPr>
      </w:pPr>
      <w:r w:rsidRPr="00115055">
        <w:rPr>
          <w:sz w:val="20"/>
          <w:szCs w:val="20"/>
          <w:lang w:val="en-US"/>
        </w:rPr>
        <w:t>3. Edition, avec Konrad Harrer et Franz Hintereder-Emde, de : </w:t>
      </w:r>
      <w:r w:rsidRPr="00115055">
        <w:rPr>
          <w:rStyle w:val="Accentuation"/>
          <w:sz w:val="20"/>
          <w:szCs w:val="20"/>
          <w:lang w:val="en-US"/>
        </w:rPr>
        <w:t>Hohe und niedere Literatur. Tendenzen zur Ausgrenzung, Vereinnahmung und Mischung im deutschsprachigen Raum</w:t>
      </w:r>
      <w:r w:rsidRPr="00115055">
        <w:rPr>
          <w:sz w:val="20"/>
          <w:szCs w:val="20"/>
          <w:lang w:val="en-US"/>
        </w:rPr>
        <w:t>, Berlin, Frank &amp; Timme, 2015</w:t>
      </w:r>
    </w:p>
    <w:p w:rsidR="00115055" w:rsidRPr="00115055" w:rsidRDefault="00115055" w:rsidP="00115055">
      <w:pPr>
        <w:pStyle w:val="NormalWeb"/>
        <w:spacing w:line="300" w:lineRule="atLeast"/>
        <w:ind w:left="600"/>
        <w:rPr>
          <w:sz w:val="20"/>
          <w:szCs w:val="20"/>
          <w:lang w:val="en-US"/>
        </w:rPr>
      </w:pPr>
      <w:r w:rsidRPr="00115055">
        <w:rPr>
          <w:sz w:val="20"/>
          <w:szCs w:val="20"/>
          <w:lang w:val="en-US"/>
        </w:rPr>
        <w:t>4. Edition, avec Konrad Harrer, Franz Hintereder-Emde, de : </w:t>
      </w:r>
      <w:r w:rsidRPr="00115055">
        <w:rPr>
          <w:rStyle w:val="Accentuation"/>
          <w:sz w:val="20"/>
          <w:szCs w:val="20"/>
          <w:lang w:val="en-US"/>
        </w:rPr>
        <w:t>Zwischen Kanon und Unterhaltung/ Between Canon and Entertainment</w:t>
      </w:r>
      <w:r w:rsidRPr="00115055">
        <w:rPr>
          <w:sz w:val="20"/>
          <w:szCs w:val="20"/>
          <w:lang w:val="en-US"/>
        </w:rPr>
        <w:t>, Berlin, Frank &amp; Timme, 2016</w:t>
      </w:r>
    </w:p>
    <w:p w:rsidR="00115055" w:rsidRPr="00115055" w:rsidRDefault="00115055" w:rsidP="00115055">
      <w:pPr>
        <w:pStyle w:val="NormalWeb"/>
        <w:rPr>
          <w:lang w:val="en-US"/>
        </w:rPr>
      </w:pPr>
    </w:p>
    <w:p w:rsidR="00115055" w:rsidRDefault="00115055" w:rsidP="00115055">
      <w:pPr>
        <w:pStyle w:val="Titre3"/>
        <w:jc w:val="center"/>
      </w:pPr>
      <w:r>
        <w:rPr>
          <w:rStyle w:val="lev"/>
          <w:b/>
          <w:bCs/>
        </w:rPr>
        <w:t>Articles (à l’exclusion des comptes rendus d’ouvrages)</w:t>
      </w:r>
    </w:p>
    <w:p w:rsidR="00115055" w:rsidRDefault="00115055" w:rsidP="00115055">
      <w:pPr>
        <w:pStyle w:val="NormalWeb"/>
        <w:ind w:left="357"/>
      </w:pPr>
    </w:p>
    <w:p w:rsidR="00115055" w:rsidRDefault="00115055" w:rsidP="00115055">
      <w:pPr>
        <w:pStyle w:val="NormalWeb"/>
        <w:ind w:left="600"/>
      </w:pPr>
      <w:r w:rsidRPr="00115055">
        <w:rPr>
          <w:lang w:val="en-US"/>
        </w:rPr>
        <w:t xml:space="preserve">1. « Peter Weiss’ schwedischsprachige Prosa », in Michael Hofmann, Hrsg: </w:t>
      </w:r>
      <w:r w:rsidRPr="00115055">
        <w:rPr>
          <w:rStyle w:val="Accentuation"/>
          <w:lang w:val="en-US"/>
        </w:rPr>
        <w:t>Literatur, Ästhetik, Geschichte. Neue Zugänge zu Peter Weiss</w:t>
      </w:r>
      <w:r w:rsidRPr="00115055">
        <w:rPr>
          <w:lang w:val="en-US"/>
        </w:rPr>
        <w:t xml:space="preserve">, St Ingbert, J. Röhrig Verlag, p.13-28. </w:t>
      </w:r>
      <w:r>
        <w:t>(</w:t>
      </w:r>
      <w:proofErr w:type="spellStart"/>
      <w:r>
        <w:t>Egalement</w:t>
      </w:r>
      <w:proofErr w:type="spellEnd"/>
      <w:r>
        <w:t xml:space="preserve"> paru en </w:t>
      </w:r>
      <w:proofErr w:type="gramStart"/>
      <w:r>
        <w:t>français:</w:t>
      </w:r>
      <w:proofErr w:type="gramEnd"/>
      <w:r>
        <w:t xml:space="preserve"> “L’</w:t>
      </w:r>
      <w:proofErr w:type="spellStart"/>
      <w:r>
        <w:t>oeuvre</w:t>
      </w:r>
      <w:proofErr w:type="spellEnd"/>
      <w:r>
        <w:t xml:space="preserve"> de Peter Weiss en langue suédoise », in Michael Hofmann, Marie-Claire </w:t>
      </w:r>
      <w:proofErr w:type="spellStart"/>
      <w:r>
        <w:t>Méry</w:t>
      </w:r>
      <w:proofErr w:type="spellEnd"/>
      <w:r>
        <w:t xml:space="preserve">, </w:t>
      </w:r>
      <w:proofErr w:type="spellStart"/>
      <w:r>
        <w:t>ed</w:t>
      </w:r>
      <w:proofErr w:type="spellEnd"/>
      <w:r>
        <w:t xml:space="preserve">. </w:t>
      </w:r>
      <w:proofErr w:type="gramStart"/>
      <w:r>
        <w:rPr>
          <w:rStyle w:val="Accentuation"/>
        </w:rPr>
        <w:t>Littérature  esthétique</w:t>
      </w:r>
      <w:proofErr w:type="gramEnd"/>
      <w:r>
        <w:rPr>
          <w:rStyle w:val="Accentuation"/>
        </w:rPr>
        <w:t>, histoire, dans l’</w:t>
      </w:r>
      <w:proofErr w:type="spellStart"/>
      <w:r>
        <w:rPr>
          <w:rStyle w:val="Accentuation"/>
        </w:rPr>
        <w:t>oeuvre</w:t>
      </w:r>
      <w:proofErr w:type="spellEnd"/>
      <w:r>
        <w:rPr>
          <w:rStyle w:val="Accentuation"/>
        </w:rPr>
        <w:t xml:space="preserve"> de Peter Weiss</w:t>
      </w:r>
      <w:r>
        <w:t>, Nancy, Presses Universitaires de Nancy, 1993, pp.19-32.)</w:t>
      </w:r>
    </w:p>
    <w:p w:rsidR="00115055" w:rsidRDefault="00115055" w:rsidP="00115055">
      <w:pPr>
        <w:pStyle w:val="NormalWeb"/>
        <w:ind w:left="600"/>
      </w:pPr>
      <w:r>
        <w:t xml:space="preserve">2. « Indices et signes d’une </w:t>
      </w:r>
      <w:proofErr w:type="gramStart"/>
      <w:r>
        <w:t>crise:</w:t>
      </w:r>
      <w:proofErr w:type="gramEnd"/>
      <w:r>
        <w:t xml:space="preserve"> la réception de Kafka en Suède à partir des années 40 », in Jean-Marie Paul, </w:t>
      </w:r>
      <w:proofErr w:type="spellStart"/>
      <w:r>
        <w:t>ed</w:t>
      </w:r>
      <w:proofErr w:type="spellEnd"/>
      <w:r>
        <w:t xml:space="preserve">. </w:t>
      </w:r>
      <w:r>
        <w:rPr>
          <w:rStyle w:val="Accentuation"/>
        </w:rPr>
        <w:t>Crise et conscience du temps</w:t>
      </w:r>
      <w:r>
        <w:t>, Nancy, Presses Universitaires de Nancy, 1998, pp. 269-286.</w:t>
      </w:r>
    </w:p>
    <w:p w:rsidR="00115055" w:rsidRDefault="00115055" w:rsidP="00115055">
      <w:pPr>
        <w:pStyle w:val="NormalWeb"/>
        <w:ind w:left="600"/>
      </w:pPr>
      <w:r>
        <w:lastRenderedPageBreak/>
        <w:t>3. « Regards d’écrivains-reporters suédois sur l’Asie dans les années 1960. La confrontation des cultures dans les ‘</w:t>
      </w:r>
      <w:proofErr w:type="spellStart"/>
      <w:r>
        <w:t>rapportböcker</w:t>
      </w:r>
      <w:proofErr w:type="spellEnd"/>
      <w:r>
        <w:t xml:space="preserve">’ de Jan Myrdal, Sara </w:t>
      </w:r>
      <w:proofErr w:type="spellStart"/>
      <w:r>
        <w:t>Lidman</w:t>
      </w:r>
      <w:proofErr w:type="spellEnd"/>
      <w:r>
        <w:t xml:space="preserve">, Sven </w:t>
      </w:r>
      <w:proofErr w:type="spellStart"/>
      <w:r>
        <w:t>Lindqvist</w:t>
      </w:r>
      <w:proofErr w:type="spellEnd"/>
      <w:r>
        <w:t xml:space="preserve"> et </w:t>
      </w:r>
      <w:proofErr w:type="spellStart"/>
      <w:r>
        <w:t>Jörn</w:t>
      </w:r>
      <w:proofErr w:type="spellEnd"/>
      <w:r>
        <w:t xml:space="preserve"> Donner », in Marc </w:t>
      </w:r>
      <w:proofErr w:type="spellStart"/>
      <w:r>
        <w:t>Auchet</w:t>
      </w:r>
      <w:proofErr w:type="spellEnd"/>
      <w:r>
        <w:t>, éd</w:t>
      </w:r>
      <w:proofErr w:type="gramStart"/>
      <w:r>
        <w:t>.:</w:t>
      </w:r>
      <w:proofErr w:type="gramEnd"/>
      <w:r>
        <w:t xml:space="preserve"> </w:t>
      </w:r>
      <w:r>
        <w:rPr>
          <w:rStyle w:val="Accentuation"/>
        </w:rPr>
        <w:t>Les pays nordiques et le dialogue entre les cultures</w:t>
      </w:r>
      <w:r>
        <w:t>, Nancy, Presses Universitaires de Nancy, 1999, pp. 219-240.</w:t>
      </w:r>
    </w:p>
    <w:p w:rsidR="00115055" w:rsidRPr="00115055" w:rsidRDefault="00115055" w:rsidP="00115055">
      <w:pPr>
        <w:pStyle w:val="NormalWeb"/>
        <w:ind w:left="600"/>
        <w:rPr>
          <w:lang w:val="en-US"/>
        </w:rPr>
      </w:pPr>
      <w:r w:rsidRPr="00115055">
        <w:rPr>
          <w:lang w:val="en-US"/>
        </w:rPr>
        <w:t xml:space="preserve">4. « Dichter und Reporter: Bertil Malmbergs Reportage </w:t>
      </w:r>
      <w:r w:rsidRPr="00115055">
        <w:rPr>
          <w:rStyle w:val="Accentuation"/>
          <w:lang w:val="en-US"/>
        </w:rPr>
        <w:t>Tyska intryck 1936</w:t>
      </w:r>
      <w:r w:rsidRPr="00115055">
        <w:rPr>
          <w:lang w:val="en-US"/>
        </w:rPr>
        <w:t> », in Annegret Heitmann, Hrsg.: Arbeiten zur Skandinavistik. 14. Arbeitstagung der deutschsprachigen Skandinavistik, 1.-5. 9. 1999 in München, Frankfurt/Main, Peter Lang, pp. 319-327.</w:t>
      </w:r>
    </w:p>
    <w:p w:rsidR="00115055" w:rsidRDefault="00115055" w:rsidP="00115055">
      <w:pPr>
        <w:pStyle w:val="NormalWeb"/>
        <w:ind w:left="600"/>
      </w:pPr>
      <w:r>
        <w:t>5. « ’Loin et tout près</w:t>
      </w:r>
      <w:proofErr w:type="gramStart"/>
      <w:r>
        <w:t>’:</w:t>
      </w:r>
      <w:proofErr w:type="gramEnd"/>
      <w:r>
        <w:t xml:space="preserve"> les Pays baltes dans la littérature suédoise après 1945 », in Marc </w:t>
      </w:r>
      <w:proofErr w:type="spellStart"/>
      <w:r>
        <w:t>Auchet</w:t>
      </w:r>
      <w:proofErr w:type="spellEnd"/>
      <w:r>
        <w:t xml:space="preserve">, Annie Bourguignon, éd.: </w:t>
      </w:r>
      <w:r>
        <w:rPr>
          <w:rStyle w:val="Accentuation"/>
        </w:rPr>
        <w:t>Les pays nordiques dans le contexte de la Baltique</w:t>
      </w:r>
      <w:r>
        <w:t>, Nancy, Presses Universitaires de Nancy, 2001, pp. 71-86.</w:t>
      </w:r>
    </w:p>
    <w:p w:rsidR="00115055" w:rsidRDefault="00115055" w:rsidP="00115055">
      <w:pPr>
        <w:pStyle w:val="NormalWeb"/>
        <w:ind w:left="600"/>
      </w:pPr>
      <w:r>
        <w:t xml:space="preserve">6. « De la perte du Schleswig à la conquête des théâtres berlinois. Les articles de Georg Brandes sur la capitale du </w:t>
      </w:r>
      <w:r>
        <w:rPr>
          <w:rStyle w:val="Accentuation"/>
        </w:rPr>
        <w:t>Reich</w:t>
      </w:r>
      <w:r>
        <w:t xml:space="preserve"> bismarckien », in Marc </w:t>
      </w:r>
      <w:proofErr w:type="spellStart"/>
      <w:r>
        <w:t>Auchet</w:t>
      </w:r>
      <w:proofErr w:type="spellEnd"/>
      <w:r>
        <w:t>, éd</w:t>
      </w:r>
      <w:proofErr w:type="gramStart"/>
      <w:r>
        <w:t>.:</w:t>
      </w:r>
      <w:proofErr w:type="gramEnd"/>
      <w:r>
        <w:t xml:space="preserve"> Le secret d’Odin. Mélanges offerts à Régis Boyer, Nancy, Presses Universitaires de Nancy, 2001, pp. 151-166.</w:t>
      </w:r>
    </w:p>
    <w:p w:rsidR="00115055" w:rsidRDefault="00115055" w:rsidP="00115055">
      <w:pPr>
        <w:pStyle w:val="NormalWeb"/>
        <w:ind w:left="600"/>
      </w:pPr>
      <w:r>
        <w:t xml:space="preserve">7. « A la recherche de l’identité </w:t>
      </w:r>
      <w:proofErr w:type="gramStart"/>
      <w:r>
        <w:t>européenne:</w:t>
      </w:r>
      <w:proofErr w:type="gramEnd"/>
      <w:r>
        <w:t xml:space="preserve"> le ‘rapport’ du Finlandais </w:t>
      </w:r>
      <w:proofErr w:type="spellStart"/>
      <w:r>
        <w:t>Jörn</w:t>
      </w:r>
      <w:proofErr w:type="spellEnd"/>
      <w:r>
        <w:t xml:space="preserve"> Donner sur l’Europe Centrale en 1962 », in </w:t>
      </w:r>
      <w:proofErr w:type="spellStart"/>
      <w:r>
        <w:rPr>
          <w:rStyle w:val="Accentuation"/>
        </w:rPr>
        <w:t>Germanica</w:t>
      </w:r>
      <w:proofErr w:type="spellEnd"/>
      <w:r>
        <w:t xml:space="preserve"> 29/2001: </w:t>
      </w:r>
      <w:r>
        <w:rPr>
          <w:rStyle w:val="Accentuation"/>
        </w:rPr>
        <w:t>Le voyage dans les littératures scandinaves au XXe siècle</w:t>
      </w:r>
      <w:r>
        <w:t xml:space="preserve">, études réunies par Jean-Marie </w:t>
      </w:r>
      <w:proofErr w:type="spellStart"/>
      <w:r>
        <w:t>Maillefer</w:t>
      </w:r>
      <w:proofErr w:type="spellEnd"/>
      <w:r>
        <w:t>, Villeneuve d’Ascq, Université Charles-de-Gaulle - Lille 3, pp. 77-89.</w:t>
      </w:r>
    </w:p>
    <w:p w:rsidR="00115055" w:rsidRPr="00115055" w:rsidRDefault="00115055" w:rsidP="00115055">
      <w:pPr>
        <w:pStyle w:val="NormalWeb"/>
        <w:ind w:left="600"/>
        <w:rPr>
          <w:lang w:val="en-US"/>
        </w:rPr>
      </w:pPr>
      <w:r w:rsidRPr="00115055">
        <w:rPr>
          <w:lang w:val="en-US"/>
        </w:rPr>
        <w:t xml:space="preserve">8. « Die Poetik der Reportage bei Strindberg », in Kirsten Wechsel, ed.: </w:t>
      </w:r>
      <w:r w:rsidRPr="00115055">
        <w:rPr>
          <w:rStyle w:val="Accentuation"/>
          <w:lang w:val="en-US"/>
        </w:rPr>
        <w:t>Strindberg and His Media: Proceedings of the 15th International Strindberg Conference</w:t>
      </w:r>
      <w:r w:rsidRPr="00115055">
        <w:rPr>
          <w:lang w:val="en-US"/>
        </w:rPr>
        <w:t>, Berlin, Kirchhof &amp; Franke, 2003, pp. 69-93.</w:t>
      </w:r>
    </w:p>
    <w:p w:rsidR="00115055" w:rsidRDefault="00115055" w:rsidP="00115055">
      <w:pPr>
        <w:pStyle w:val="NormalWeb"/>
        <w:ind w:left="600"/>
      </w:pPr>
      <w:r>
        <w:t xml:space="preserve">9. « Religion et identité dans </w:t>
      </w:r>
      <w:r>
        <w:rPr>
          <w:rStyle w:val="Accentuation"/>
        </w:rPr>
        <w:t>Maître Olof</w:t>
      </w:r>
      <w:r>
        <w:t xml:space="preserve"> et </w:t>
      </w:r>
      <w:r>
        <w:rPr>
          <w:rStyle w:val="Accentuation"/>
        </w:rPr>
        <w:t xml:space="preserve">La </w:t>
      </w:r>
      <w:proofErr w:type="spellStart"/>
      <w:r>
        <w:rPr>
          <w:rStyle w:val="Accentuation"/>
        </w:rPr>
        <w:t>grand’route</w:t>
      </w:r>
      <w:proofErr w:type="spellEnd"/>
      <w:r>
        <w:t xml:space="preserve"> d’August Strindberg », in Philippe Alexandre, </w:t>
      </w:r>
      <w:proofErr w:type="spellStart"/>
      <w:r>
        <w:t>ed</w:t>
      </w:r>
      <w:proofErr w:type="spellEnd"/>
      <w:proofErr w:type="gramStart"/>
      <w:r>
        <w:t>.:</w:t>
      </w:r>
      <w:proofErr w:type="gramEnd"/>
      <w:r>
        <w:t xml:space="preserve"> </w:t>
      </w:r>
      <w:r>
        <w:rPr>
          <w:rStyle w:val="Accentuation"/>
        </w:rPr>
        <w:t>Religions, Nations Identités</w:t>
      </w:r>
      <w:r>
        <w:t>, Nancy, Presses Universitaires de Nancy, 2004, pp. 217-321.</w:t>
      </w:r>
    </w:p>
    <w:p w:rsidR="00115055" w:rsidRDefault="00115055" w:rsidP="00115055">
      <w:pPr>
        <w:pStyle w:val="NormalWeb"/>
        <w:ind w:left="600"/>
      </w:pPr>
      <w:r>
        <w:t>10. « Ibsen ‘</w:t>
      </w:r>
      <w:proofErr w:type="spellStart"/>
      <w:r>
        <w:t>antimasculiniste</w:t>
      </w:r>
      <w:proofErr w:type="spellEnd"/>
      <w:proofErr w:type="gramStart"/>
      <w:r>
        <w:t>’?</w:t>
      </w:r>
      <w:proofErr w:type="gramEnd"/>
      <w:r>
        <w:t xml:space="preserve"> », in </w:t>
      </w:r>
      <w:r>
        <w:rPr>
          <w:rStyle w:val="Accentuation"/>
        </w:rPr>
        <w:t>Scherzo</w:t>
      </w:r>
      <w:r>
        <w:t xml:space="preserve">, n° 20-22: </w:t>
      </w:r>
      <w:r>
        <w:rPr>
          <w:rStyle w:val="Accentuation"/>
        </w:rPr>
        <w:t>Littératures de Norvège</w:t>
      </w:r>
      <w:r>
        <w:t>, 2004, pp. 13-18.</w:t>
      </w:r>
    </w:p>
    <w:p w:rsidR="00115055" w:rsidRDefault="00115055" w:rsidP="00115055">
      <w:pPr>
        <w:pStyle w:val="NormalWeb"/>
        <w:ind w:left="600"/>
      </w:pPr>
      <w:r>
        <w:t>11. « </w:t>
      </w:r>
      <w:proofErr w:type="spellStart"/>
      <w:r>
        <w:t>Romanen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proofErr w:type="gramStart"/>
      <w:r>
        <w:t>dagbok</w:t>
      </w:r>
      <w:proofErr w:type="spellEnd"/>
      <w:r>
        <w:t>:</w:t>
      </w:r>
      <w:proofErr w:type="gramEnd"/>
      <w:r>
        <w:t xml:space="preserve"> </w:t>
      </w:r>
      <w:proofErr w:type="spellStart"/>
      <w:r>
        <w:t>modernism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humanism</w:t>
      </w:r>
      <w:proofErr w:type="spellEnd"/>
      <w:r>
        <w:t xml:space="preserve"> i </w:t>
      </w:r>
      <w:proofErr w:type="spellStart"/>
      <w:r>
        <w:t>Eyvind</w:t>
      </w:r>
      <w:proofErr w:type="spellEnd"/>
      <w:r>
        <w:t xml:space="preserve"> </w:t>
      </w:r>
      <w:proofErr w:type="spellStart"/>
      <w:r>
        <w:t>Johnsons</w:t>
      </w:r>
      <w:proofErr w:type="spellEnd"/>
      <w:r>
        <w:t xml:space="preserve"> </w:t>
      </w:r>
      <w:proofErr w:type="spellStart"/>
      <w:r>
        <w:rPr>
          <w:rStyle w:val="Accentuation"/>
        </w:rPr>
        <w:t>Krilon</w:t>
      </w:r>
      <w:r>
        <w:t>-serie</w:t>
      </w:r>
      <w:proofErr w:type="spellEnd"/>
      <w:r>
        <w:t> » (« le roman comme journal tenu au jour le jour: le modernisme et l’humanisme dans la série romanesque d’</w:t>
      </w:r>
      <w:proofErr w:type="spellStart"/>
      <w:r>
        <w:t>Eyvind</w:t>
      </w:r>
      <w:proofErr w:type="spellEnd"/>
      <w:r>
        <w:t xml:space="preserve"> Johnson </w:t>
      </w:r>
      <w:proofErr w:type="spellStart"/>
      <w:r>
        <w:rPr>
          <w:rStyle w:val="Accentuation"/>
        </w:rPr>
        <w:t>Krilon</w:t>
      </w:r>
      <w:proofErr w:type="spellEnd"/>
      <w:r>
        <w:t xml:space="preserve">). Publié par la société </w:t>
      </w:r>
      <w:proofErr w:type="spellStart"/>
      <w:r>
        <w:t>Eyvind</w:t>
      </w:r>
      <w:proofErr w:type="spellEnd"/>
      <w:r>
        <w:t xml:space="preserve"> Johnson sur son site internet www.eyvindjohnson.org.</w:t>
      </w:r>
    </w:p>
    <w:p w:rsidR="00115055" w:rsidRDefault="00115055" w:rsidP="00115055">
      <w:pPr>
        <w:pStyle w:val="NormalWeb"/>
        <w:ind w:left="600"/>
      </w:pPr>
      <w:r>
        <w:t xml:space="preserve">12. « La forêt dans la </w:t>
      </w:r>
      <w:proofErr w:type="gramStart"/>
      <w:r>
        <w:t>littérature:</w:t>
      </w:r>
      <w:proofErr w:type="gramEnd"/>
      <w:r>
        <w:t xml:space="preserve"> quelques exemples scandinaves », in </w:t>
      </w:r>
      <w:r>
        <w:rPr>
          <w:rStyle w:val="Accentuation"/>
        </w:rPr>
        <w:t>Nordiques</w:t>
      </w:r>
      <w:r>
        <w:t xml:space="preserve"> n° 8, 2005, pp. 45-58.</w:t>
      </w:r>
    </w:p>
    <w:p w:rsidR="00115055" w:rsidRDefault="00115055" w:rsidP="00115055">
      <w:pPr>
        <w:pStyle w:val="NormalWeb"/>
        <w:ind w:left="600"/>
      </w:pPr>
      <w:r>
        <w:t xml:space="preserve">13. « Un campement dans la forêt des paradoxes. Les conditions de la création littéraire chez </w:t>
      </w:r>
      <w:proofErr w:type="spellStart"/>
      <w:r>
        <w:t>Stig</w:t>
      </w:r>
      <w:proofErr w:type="spellEnd"/>
      <w:r>
        <w:t xml:space="preserve"> Dagerman », in Philippe Alexandre, Ralf </w:t>
      </w:r>
      <w:proofErr w:type="spellStart"/>
      <w:r>
        <w:t>Zschachlitz</w:t>
      </w:r>
      <w:proofErr w:type="spellEnd"/>
      <w:r>
        <w:t xml:space="preserve">, </w:t>
      </w:r>
      <w:proofErr w:type="spellStart"/>
      <w:r>
        <w:t>ed</w:t>
      </w:r>
      <w:proofErr w:type="spellEnd"/>
      <w:r>
        <w:t xml:space="preserve">. : </w:t>
      </w:r>
      <w:r>
        <w:rPr>
          <w:rStyle w:val="Accentuation"/>
        </w:rPr>
        <w:t>Ethiques et modernité</w:t>
      </w:r>
      <w:r>
        <w:t>, Nancy, Presses Universitaires de Nancy, 2006, pp. 197-207.</w:t>
      </w:r>
    </w:p>
    <w:p w:rsidR="00115055" w:rsidRDefault="00115055" w:rsidP="00115055">
      <w:pPr>
        <w:pStyle w:val="NormalWeb"/>
        <w:ind w:left="600"/>
      </w:pPr>
      <w:r>
        <w:t xml:space="preserve">14. « Entre Balzac et </w:t>
      </w:r>
      <w:proofErr w:type="gramStart"/>
      <w:r>
        <w:t>Kafka:</w:t>
      </w:r>
      <w:proofErr w:type="gramEnd"/>
      <w:r>
        <w:t xml:space="preserve"> </w:t>
      </w:r>
      <w:proofErr w:type="spellStart"/>
      <w:r>
        <w:rPr>
          <w:rStyle w:val="Accentuation"/>
        </w:rPr>
        <w:t>Inferno</w:t>
      </w:r>
      <w:proofErr w:type="spellEnd"/>
      <w:r>
        <w:t xml:space="preserve">, d’August Strindberg », in Michel Espagne, </w:t>
      </w:r>
      <w:proofErr w:type="spellStart"/>
      <w:r>
        <w:t>ed</w:t>
      </w:r>
      <w:proofErr w:type="spellEnd"/>
      <w:r>
        <w:t xml:space="preserve">. : </w:t>
      </w:r>
      <w:r>
        <w:rPr>
          <w:rStyle w:val="Accentuation"/>
        </w:rPr>
        <w:t>Le prisme du Nord. Pays du Nord, France, Allemagne (1750-1920)</w:t>
      </w:r>
      <w:r>
        <w:t>, Du Lérot, éditeur, 16140 Tusson, 2006, pp. 259-277.</w:t>
      </w:r>
    </w:p>
    <w:p w:rsidR="00115055" w:rsidRPr="00115055" w:rsidRDefault="00115055" w:rsidP="00115055">
      <w:pPr>
        <w:pStyle w:val="NormalWeb"/>
        <w:ind w:left="600"/>
        <w:rPr>
          <w:lang w:val="en-US"/>
        </w:rPr>
      </w:pPr>
      <w:r w:rsidRPr="00115055">
        <w:rPr>
          <w:lang w:val="en-US"/>
        </w:rPr>
        <w:lastRenderedPageBreak/>
        <w:t>15. « </w:t>
      </w:r>
      <w:r w:rsidRPr="00115055">
        <w:rPr>
          <w:rStyle w:val="Accentuation"/>
          <w:lang w:val="en-US"/>
        </w:rPr>
        <w:t>Röda rummet</w:t>
      </w:r>
      <w:r w:rsidRPr="00115055">
        <w:rPr>
          <w:lang w:val="en-US"/>
        </w:rPr>
        <w:t xml:space="preserve"> som journalistroman » in </w:t>
      </w:r>
      <w:r w:rsidRPr="00115055">
        <w:rPr>
          <w:rStyle w:val="Accentuation"/>
          <w:lang w:val="en-US"/>
        </w:rPr>
        <w:t>Strindbergiana</w:t>
      </w:r>
      <w:r w:rsidRPr="00115055">
        <w:rPr>
          <w:lang w:val="en-US"/>
        </w:rPr>
        <w:t xml:space="preserve"> 22, Stockholm, Atlantis, 2007, pp. 102-115.</w:t>
      </w:r>
    </w:p>
    <w:p w:rsidR="00115055" w:rsidRDefault="00115055" w:rsidP="00115055">
      <w:pPr>
        <w:pStyle w:val="NormalWeb"/>
        <w:ind w:left="600"/>
      </w:pPr>
      <w:r w:rsidRPr="00115055">
        <w:rPr>
          <w:lang w:val="en-US"/>
        </w:rPr>
        <w:t xml:space="preserve">16. « Georg Brandes’ Auseinandersetzung mit dem ersten Weltkrieg », in </w:t>
      </w:r>
      <w:r w:rsidRPr="00115055">
        <w:rPr>
          <w:rStyle w:val="Accentuation"/>
          <w:lang w:val="en-US"/>
        </w:rPr>
        <w:t xml:space="preserve">Akten des XI. </w:t>
      </w:r>
      <w:proofErr w:type="spellStart"/>
      <w:r>
        <w:rPr>
          <w:rStyle w:val="Accentuation"/>
        </w:rPr>
        <w:t>Internationalen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Germanistenkongresses</w:t>
      </w:r>
      <w:proofErr w:type="spellEnd"/>
      <w:r>
        <w:rPr>
          <w:rStyle w:val="Accentuation"/>
        </w:rPr>
        <w:t xml:space="preserve"> Paris 2005</w:t>
      </w:r>
      <w:r>
        <w:t>, Band 2, Bern, Peter Lang, 2007, S. 245-254.</w:t>
      </w:r>
    </w:p>
    <w:p w:rsidR="00115055" w:rsidRDefault="00115055" w:rsidP="00115055">
      <w:pPr>
        <w:pStyle w:val="NormalWeb"/>
        <w:ind w:left="600"/>
      </w:pPr>
      <w:r>
        <w:t>17. « Culture allemande contre germanophilie. Les prises de positions intellectuelles et politiques de quelques publicistes et écrivains scandinaves de la fin du XIX</w:t>
      </w:r>
      <w:r>
        <w:rPr>
          <w:vertAlign w:val="superscript"/>
        </w:rPr>
        <w:t>e</w:t>
      </w:r>
      <w:r>
        <w:t xml:space="preserve"> au milieu du XX</w:t>
      </w:r>
      <w:r>
        <w:rPr>
          <w:vertAlign w:val="superscript"/>
        </w:rPr>
        <w:t>e</w:t>
      </w:r>
      <w:r>
        <w:t xml:space="preserve"> siècle », in Jean </w:t>
      </w:r>
      <w:proofErr w:type="spellStart"/>
      <w:r>
        <w:t>Schillinger</w:t>
      </w:r>
      <w:proofErr w:type="spellEnd"/>
      <w:r>
        <w:t xml:space="preserve"> et Philippe Alexandre (éd.) : </w:t>
      </w:r>
      <w:r>
        <w:rPr>
          <w:rStyle w:val="Accentuation"/>
        </w:rPr>
        <w:t>Le barbare. Images phobiques et réflexions sur l’altérité dans la culture européenne</w:t>
      </w:r>
      <w:r>
        <w:t>, Berne, Peter Lang, 2008, pp. 287-301.</w:t>
      </w:r>
    </w:p>
    <w:p w:rsidR="00115055" w:rsidRPr="00115055" w:rsidRDefault="00115055" w:rsidP="00115055">
      <w:pPr>
        <w:pStyle w:val="NormalWeb"/>
        <w:ind w:left="600"/>
        <w:rPr>
          <w:lang w:val="en-US"/>
        </w:rPr>
      </w:pPr>
      <w:r w:rsidRPr="00115055">
        <w:rPr>
          <w:lang w:val="en-US"/>
        </w:rPr>
        <w:t xml:space="preserve">18. « Konstruktion och undersökelse, exotism och närhet i Per Olof Sundmans böcker om Lofoten », in </w:t>
      </w:r>
      <w:r w:rsidRPr="00115055">
        <w:rPr>
          <w:rStyle w:val="Accentuation"/>
          <w:lang w:val="en-US"/>
        </w:rPr>
        <w:t>Nordlit</w:t>
      </w:r>
      <w:r w:rsidRPr="00115055">
        <w:rPr>
          <w:lang w:val="en-US"/>
        </w:rPr>
        <w:t xml:space="preserve"> nr. 22, höst 2007 (Arktiske diskurser), S. 1-17.</w:t>
      </w:r>
    </w:p>
    <w:p w:rsidR="00115055" w:rsidRPr="00115055" w:rsidRDefault="00115055" w:rsidP="00115055">
      <w:pPr>
        <w:pStyle w:val="NormalWeb"/>
        <w:ind w:left="600"/>
        <w:rPr>
          <w:lang w:val="en-US"/>
        </w:rPr>
      </w:pPr>
      <w:r w:rsidRPr="00115055">
        <w:rPr>
          <w:lang w:val="en-US"/>
        </w:rPr>
        <w:t xml:space="preserve">19. « Mellan Balzac och Kafka: August Strindbergs </w:t>
      </w:r>
      <w:r w:rsidRPr="00115055">
        <w:rPr>
          <w:rStyle w:val="Accentuation"/>
          <w:lang w:val="en-US"/>
        </w:rPr>
        <w:t>Inferno</w:t>
      </w:r>
      <w:r w:rsidRPr="00115055">
        <w:rPr>
          <w:lang w:val="en-US"/>
        </w:rPr>
        <w:t xml:space="preserve"> » » in </w:t>
      </w:r>
      <w:r w:rsidRPr="00115055">
        <w:rPr>
          <w:rStyle w:val="Accentuation"/>
          <w:lang w:val="en-US"/>
        </w:rPr>
        <w:t>Strindbergiana</w:t>
      </w:r>
      <w:r w:rsidRPr="00115055">
        <w:rPr>
          <w:lang w:val="en-US"/>
        </w:rPr>
        <w:t xml:space="preserve"> 23, Stockholm, Atlantis, 2008, pp. 48-68.</w:t>
      </w:r>
    </w:p>
    <w:p w:rsidR="00115055" w:rsidRPr="00115055" w:rsidRDefault="00115055" w:rsidP="00115055">
      <w:pPr>
        <w:pStyle w:val="NormalWeb"/>
        <w:ind w:left="600"/>
        <w:rPr>
          <w:lang w:val="en-US"/>
        </w:rPr>
      </w:pPr>
      <w:r w:rsidRPr="00115055">
        <w:rPr>
          <w:lang w:val="en-US"/>
        </w:rPr>
        <w:t xml:space="preserve">20. « Conquering the Arctic and Conquering the Sky: views on Technical Progress and Superman in Saint-Exupéry’s </w:t>
      </w:r>
      <w:r w:rsidRPr="00115055">
        <w:rPr>
          <w:rStyle w:val="Accentuation"/>
          <w:lang w:val="en-US"/>
        </w:rPr>
        <w:t>Night Flight</w:t>
      </w:r>
      <w:r w:rsidRPr="00115055">
        <w:rPr>
          <w:lang w:val="en-US"/>
        </w:rPr>
        <w:t xml:space="preserve"> and P. O. Sundman’s </w:t>
      </w:r>
      <w:r w:rsidRPr="00115055">
        <w:rPr>
          <w:rStyle w:val="Accentuation"/>
          <w:lang w:val="en-US"/>
        </w:rPr>
        <w:t>The Flight of the Eagle</w:t>
      </w:r>
      <w:r w:rsidRPr="00115055">
        <w:rPr>
          <w:lang w:val="en-US"/>
        </w:rPr>
        <w:t xml:space="preserve"> », in </w:t>
      </w:r>
      <w:r w:rsidRPr="00115055">
        <w:rPr>
          <w:rStyle w:val="Accentuation"/>
          <w:lang w:val="en-US"/>
        </w:rPr>
        <w:t>Nordlit</w:t>
      </w:r>
      <w:r w:rsidRPr="00115055">
        <w:rPr>
          <w:lang w:val="en-US"/>
        </w:rPr>
        <w:t xml:space="preserve"> nr. 23, vår 2008 (Arctic Discourses 2008), s. 39-54.</w:t>
      </w:r>
    </w:p>
    <w:p w:rsidR="00115055" w:rsidRPr="00115055" w:rsidRDefault="00115055" w:rsidP="00115055">
      <w:pPr>
        <w:pStyle w:val="NormalWeb"/>
        <w:ind w:left="600"/>
        <w:rPr>
          <w:lang w:val="en-US"/>
        </w:rPr>
      </w:pPr>
      <w:r w:rsidRPr="00115055">
        <w:rPr>
          <w:lang w:val="en-US"/>
        </w:rPr>
        <w:t xml:space="preserve">21. « Ivar Lo-Johannsons skrifter om ålderdomen i Sverige », in </w:t>
      </w:r>
      <w:r w:rsidRPr="00115055">
        <w:rPr>
          <w:rStyle w:val="Accentuation"/>
          <w:lang w:val="en-US"/>
        </w:rPr>
        <w:t>Studi Nordici</w:t>
      </w:r>
      <w:r w:rsidRPr="00115055">
        <w:rPr>
          <w:lang w:val="en-US"/>
        </w:rPr>
        <w:t xml:space="preserve"> XV - 2008, Pise, Rome, Fabrizio Serra, pp.11-18.</w:t>
      </w:r>
    </w:p>
    <w:p w:rsidR="00115055" w:rsidRDefault="00115055" w:rsidP="00115055">
      <w:pPr>
        <w:pStyle w:val="NormalWeb"/>
        <w:ind w:left="600"/>
      </w:pPr>
      <w:r>
        <w:t xml:space="preserve">22. « Georg Brandes et Romain Rolland », in Annie Bourguignon, Konrad Harrer, </w:t>
      </w:r>
      <w:proofErr w:type="spellStart"/>
      <w:r>
        <w:t>Jørgen</w:t>
      </w:r>
      <w:proofErr w:type="spellEnd"/>
      <w:r>
        <w:t xml:space="preserve"> Stender </w:t>
      </w:r>
      <w:proofErr w:type="spellStart"/>
      <w:r>
        <w:t>Clausen</w:t>
      </w:r>
      <w:proofErr w:type="spellEnd"/>
      <w:r>
        <w:t xml:space="preserve">, éd. : </w:t>
      </w:r>
      <w:r>
        <w:rPr>
          <w:rStyle w:val="Accentuation"/>
        </w:rPr>
        <w:t>Grands courants d’échanges intellectuels : Georg Brandes et la France, l’Allemagne, l’Angleterre. Actes de la Deuxième Conférence Internationale Georg Brandes (Nancy, 13-15 novembre 2008)</w:t>
      </w:r>
      <w:r>
        <w:t>, Bern, Peter Lang, 2009, pp. 349-366.</w:t>
      </w:r>
    </w:p>
    <w:p w:rsidR="00115055" w:rsidRDefault="00115055" w:rsidP="00115055">
      <w:pPr>
        <w:pStyle w:val="NormalWeb"/>
        <w:ind w:left="600"/>
      </w:pPr>
      <w:r>
        <w:t xml:space="preserve">23. « Art et mégalopole : </w:t>
      </w:r>
      <w:proofErr w:type="spellStart"/>
      <w:r>
        <w:t>Vilhelm</w:t>
      </w:r>
      <w:proofErr w:type="spellEnd"/>
      <w:r>
        <w:t xml:space="preserve"> Ekelund et Berlin », in </w:t>
      </w:r>
      <w:r>
        <w:rPr>
          <w:rStyle w:val="Accentuation"/>
        </w:rPr>
        <w:t>Deshima, Revue d’histoire globale des pays du Nord</w:t>
      </w:r>
      <w:r>
        <w:t>, Université de Strasbourg, 2009, pp. 117-133.</w:t>
      </w:r>
    </w:p>
    <w:p w:rsidR="00115055" w:rsidRDefault="00115055" w:rsidP="00115055">
      <w:pPr>
        <w:pStyle w:val="NormalWeb"/>
        <w:ind w:left="600"/>
      </w:pPr>
      <w:r>
        <w:t xml:space="preserve">24. « Nous qui pataugeons dans la boue. Le monde des romans policiers de Henning </w:t>
      </w:r>
      <w:proofErr w:type="spellStart"/>
      <w:r>
        <w:t>Mankell</w:t>
      </w:r>
      <w:proofErr w:type="spellEnd"/>
      <w:r>
        <w:t xml:space="preserve"> », in </w:t>
      </w:r>
      <w:r>
        <w:rPr>
          <w:rStyle w:val="Accentuation"/>
        </w:rPr>
        <w:t>Etudes Germaniques</w:t>
      </w:r>
      <w:r>
        <w:t>, Octobre-décembre 2010, n° 4, pp. 877-891.</w:t>
      </w:r>
    </w:p>
    <w:p w:rsidR="00115055" w:rsidRDefault="00115055" w:rsidP="00115055">
      <w:pPr>
        <w:pStyle w:val="NormalWeb"/>
        <w:ind w:left="600"/>
      </w:pPr>
      <w:r>
        <w:t>25. « Les géographies du dehors » [« Sortir du Nord »], in Le Magazine Littéraire, n° 506, mars 2011, pp. 86-87.</w:t>
      </w:r>
    </w:p>
    <w:p w:rsidR="00115055" w:rsidRPr="00115055" w:rsidRDefault="00115055" w:rsidP="00115055">
      <w:pPr>
        <w:pStyle w:val="NormalWeb"/>
        <w:ind w:left="600"/>
        <w:rPr>
          <w:lang w:val="en-US"/>
        </w:rPr>
      </w:pPr>
      <w:r>
        <w:t xml:space="preserve">26. « Peut-on lire </w:t>
      </w:r>
      <w:proofErr w:type="spellStart"/>
      <w:r>
        <w:t>Nordahl</w:t>
      </w:r>
      <w:proofErr w:type="spellEnd"/>
      <w:r>
        <w:t xml:space="preserve"> Grieg au XXIe siècle ? », in </w:t>
      </w:r>
      <w:r>
        <w:rPr>
          <w:rStyle w:val="Accentuation"/>
        </w:rPr>
        <w:t>Deshima, Revue d’histoire globale des pays du Nord</w:t>
      </w:r>
      <w:r>
        <w:t xml:space="preserve">, Nr. 5, Université de Strasbourg, 2011, pp. 43-66.27. </w:t>
      </w:r>
      <w:r w:rsidRPr="00115055">
        <w:rPr>
          <w:lang w:val="en-US"/>
        </w:rPr>
        <w:t xml:space="preserve">« Nordahl Grieg als Romangestalt und Gesprächspartner in Peter Weiss’ </w:t>
      </w:r>
      <w:r w:rsidRPr="00115055">
        <w:rPr>
          <w:rStyle w:val="Accentuation"/>
          <w:lang w:val="en-US"/>
        </w:rPr>
        <w:t>Ästhetik des Widerstands</w:t>
      </w:r>
      <w:r w:rsidRPr="00115055">
        <w:rPr>
          <w:lang w:val="en-US"/>
        </w:rPr>
        <w:t xml:space="preserve"> », in </w:t>
      </w:r>
      <w:r w:rsidRPr="00115055">
        <w:rPr>
          <w:rStyle w:val="Accentuation"/>
          <w:lang w:val="en-US"/>
        </w:rPr>
        <w:t>Peter-Weiss-Jahrbuch</w:t>
      </w:r>
      <w:r w:rsidRPr="00115055">
        <w:rPr>
          <w:lang w:val="en-US"/>
        </w:rPr>
        <w:t xml:space="preserve"> Bd 20, St Ingbert 2011, S. 41-60</w:t>
      </w:r>
    </w:p>
    <w:p w:rsidR="00115055" w:rsidRDefault="00115055" w:rsidP="00115055">
      <w:pPr>
        <w:pStyle w:val="NormalWeb"/>
        <w:ind w:left="600"/>
      </w:pPr>
      <w:r>
        <w:t xml:space="preserve">28. « Stockholm dans </w:t>
      </w:r>
      <w:proofErr w:type="spellStart"/>
      <w:r>
        <w:rPr>
          <w:rStyle w:val="Accentuation"/>
        </w:rPr>
        <w:t>Götiska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rummen</w:t>
      </w:r>
      <w:proofErr w:type="spellEnd"/>
      <w:r>
        <w:t xml:space="preserve"> et </w:t>
      </w:r>
      <w:proofErr w:type="spellStart"/>
      <w:r>
        <w:rPr>
          <w:rStyle w:val="Accentuation"/>
        </w:rPr>
        <w:t>Svarta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fanor</w:t>
      </w:r>
      <w:proofErr w:type="spellEnd"/>
      <w:r>
        <w:t xml:space="preserve"> », in </w:t>
      </w:r>
      <w:r>
        <w:rPr>
          <w:rStyle w:val="Accentuation"/>
        </w:rPr>
        <w:t xml:space="preserve">Strindberg et la ville/ The </w:t>
      </w:r>
      <w:proofErr w:type="spellStart"/>
      <w:r>
        <w:rPr>
          <w:rStyle w:val="Accentuation"/>
        </w:rPr>
        <w:t>cities</w:t>
      </w:r>
      <w:proofErr w:type="spellEnd"/>
      <w:r>
        <w:rPr>
          <w:rStyle w:val="Accentuation"/>
        </w:rPr>
        <w:t xml:space="preserve"> of Strindberg</w:t>
      </w:r>
      <w:r>
        <w:t xml:space="preserve">, </w:t>
      </w:r>
      <w:r>
        <w:rPr>
          <w:rStyle w:val="Accentuation"/>
        </w:rPr>
        <w:t>Deshima</w:t>
      </w:r>
      <w:r>
        <w:t xml:space="preserve"> Hors-série 2, Université de Strasbourg, 2012, pp. 175-188</w:t>
      </w:r>
    </w:p>
    <w:p w:rsidR="00115055" w:rsidRPr="00115055" w:rsidRDefault="00115055" w:rsidP="00115055">
      <w:pPr>
        <w:pStyle w:val="NormalWeb"/>
        <w:ind w:left="600"/>
        <w:rPr>
          <w:lang w:val="en-US"/>
        </w:rPr>
      </w:pPr>
      <w:r w:rsidRPr="00115055">
        <w:rPr>
          <w:lang w:val="en-US"/>
        </w:rPr>
        <w:lastRenderedPageBreak/>
        <w:t xml:space="preserve">29. ”En andens stridsman som hatade vapenkrig. Strindberg och det stundande världskriget“, in </w:t>
      </w:r>
      <w:r w:rsidRPr="00115055">
        <w:rPr>
          <w:rStyle w:val="Accentuation"/>
          <w:lang w:val="en-US"/>
        </w:rPr>
        <w:t>SocialistiskDebatt 203</w:t>
      </w:r>
      <w:r w:rsidRPr="00115055">
        <w:rPr>
          <w:lang w:val="en-US"/>
        </w:rPr>
        <w:t>, Malmö 2013, pp. 157-171.</w:t>
      </w:r>
    </w:p>
    <w:p w:rsidR="00115055" w:rsidRDefault="00115055" w:rsidP="00115055">
      <w:pPr>
        <w:pStyle w:val="NormalWeb"/>
        <w:ind w:left="600"/>
      </w:pPr>
      <w:r>
        <w:t xml:space="preserve">30. articles « Ester </w:t>
      </w:r>
      <w:proofErr w:type="spellStart"/>
      <w:r>
        <w:t>Blenda</w:t>
      </w:r>
      <w:proofErr w:type="spellEnd"/>
      <w:r>
        <w:t xml:space="preserve"> NORDSTRÖM » et « Ulla Lena LUNDBERG », in </w:t>
      </w:r>
      <w:r>
        <w:rPr>
          <w:rStyle w:val="Accentuation"/>
        </w:rPr>
        <w:t>Le dictionnaire des créatrices</w:t>
      </w:r>
      <w:r>
        <w:t xml:space="preserve">, Paris, Société d’édition </w:t>
      </w:r>
      <w:r>
        <w:rPr>
          <w:rStyle w:val="Accentuation"/>
        </w:rPr>
        <w:t>des femmes</w:t>
      </w:r>
    </w:p>
    <w:p w:rsidR="00115055" w:rsidRDefault="00115055" w:rsidP="00115055">
      <w:pPr>
        <w:pStyle w:val="NormalWeb"/>
        <w:ind w:left="600"/>
      </w:pPr>
      <w:r>
        <w:t xml:space="preserve">31. « Jean-Paul Sartre dans le sillage de Henrik Ibsen ? » in </w:t>
      </w:r>
      <w:r>
        <w:rPr>
          <w:rStyle w:val="Accentuation"/>
        </w:rPr>
        <w:t>Etudes Sartriennes</w:t>
      </w:r>
      <w:r>
        <w:t xml:space="preserve"> n° 15/2011, pp. 151-169.</w:t>
      </w:r>
    </w:p>
    <w:p w:rsidR="00115055" w:rsidRDefault="00115055" w:rsidP="00115055">
      <w:pPr>
        <w:pStyle w:val="NormalWeb"/>
        <w:ind w:left="600"/>
      </w:pPr>
      <w:r>
        <w:t xml:space="preserve">32. « Marcel </w:t>
      </w:r>
      <w:proofErr w:type="spellStart"/>
      <w:r>
        <w:t>Réja</w:t>
      </w:r>
      <w:proofErr w:type="spellEnd"/>
      <w:r>
        <w:t xml:space="preserve"> et les artistes scandinaves », in Sylvain </w:t>
      </w:r>
      <w:proofErr w:type="spellStart"/>
      <w:r>
        <w:t>Briens</w:t>
      </w:r>
      <w:proofErr w:type="spellEnd"/>
      <w:r>
        <w:t xml:space="preserve">, Karl </w:t>
      </w:r>
      <w:proofErr w:type="spellStart"/>
      <w:r>
        <w:t>Erland</w:t>
      </w:r>
      <w:proofErr w:type="spellEnd"/>
      <w:r>
        <w:t xml:space="preserve"> </w:t>
      </w:r>
      <w:proofErr w:type="spellStart"/>
      <w:r>
        <w:t>Gadelii</w:t>
      </w:r>
      <w:proofErr w:type="spellEnd"/>
      <w:r>
        <w:t xml:space="preserve">, May-Brigitte Lehman, Jean-Marie </w:t>
      </w:r>
      <w:proofErr w:type="spellStart"/>
      <w:r>
        <w:t>Maillefer</w:t>
      </w:r>
      <w:proofErr w:type="spellEnd"/>
      <w:r>
        <w:t> : </w:t>
      </w:r>
      <w:proofErr w:type="gramStart"/>
      <w:r>
        <w:rPr>
          <w:rStyle w:val="Accentuation"/>
        </w:rPr>
        <w:t>Cents</w:t>
      </w:r>
      <w:proofErr w:type="gramEnd"/>
      <w:r>
        <w:rPr>
          <w:rStyle w:val="Accentuation"/>
        </w:rPr>
        <w:t xml:space="preserve"> ans d’études scandinaves. Centenaire de la fondation de la chaire de langues et littératures scandinaves à la Sorbonne en 1909</w:t>
      </w:r>
      <w:r>
        <w:t xml:space="preserve">, Stockholm, </w:t>
      </w:r>
      <w:proofErr w:type="spellStart"/>
      <w:r>
        <w:t>Kungl</w:t>
      </w:r>
      <w:proofErr w:type="spellEnd"/>
      <w:r>
        <w:t xml:space="preserve">. </w:t>
      </w:r>
      <w:proofErr w:type="spellStart"/>
      <w:r>
        <w:t>Vitterhets</w:t>
      </w:r>
      <w:proofErr w:type="spellEnd"/>
      <w:r>
        <w:t xml:space="preserve"> Historie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Antikvitets</w:t>
      </w:r>
      <w:proofErr w:type="spellEnd"/>
      <w:r>
        <w:t xml:space="preserve"> </w:t>
      </w:r>
      <w:proofErr w:type="spellStart"/>
      <w:r>
        <w:t>Akademien</w:t>
      </w:r>
      <w:proofErr w:type="spellEnd"/>
      <w:r>
        <w:t>, 2012, p. 331-341</w:t>
      </w:r>
    </w:p>
    <w:p w:rsidR="00115055" w:rsidRDefault="00115055" w:rsidP="00115055">
      <w:pPr>
        <w:pStyle w:val="NormalWeb"/>
        <w:ind w:left="600"/>
      </w:pPr>
      <w:r>
        <w:t xml:space="preserve">33. « Un grand nom du journalisme norvégien des années 1940 : Willy Brandt », in </w:t>
      </w:r>
      <w:r>
        <w:rPr>
          <w:rStyle w:val="Accentuation"/>
        </w:rPr>
        <w:t>Le Nord à la lumière du Sud.</w:t>
      </w:r>
      <w:r>
        <w:t xml:space="preserve"> </w:t>
      </w:r>
      <w:r>
        <w:rPr>
          <w:rStyle w:val="Accentuation"/>
        </w:rPr>
        <w:t xml:space="preserve">Mélanges pour Jean-François </w:t>
      </w:r>
      <w:proofErr w:type="spellStart"/>
      <w:r>
        <w:rPr>
          <w:rStyle w:val="Accentuation"/>
        </w:rPr>
        <w:t>Battail</w:t>
      </w:r>
      <w:proofErr w:type="spellEnd"/>
      <w:r>
        <w:t>, Strasbourg 2013, p. 67-89</w:t>
      </w:r>
    </w:p>
    <w:p w:rsidR="00115055" w:rsidRDefault="00115055" w:rsidP="00115055">
      <w:pPr>
        <w:pStyle w:val="NormalWeb"/>
        <w:ind w:left="600"/>
      </w:pPr>
      <w:r>
        <w:t xml:space="preserve">34. « Les analyses de Georg Brandes de la ‘patrioterie’ en France et en Allemagne à la veille de la Première Guerre mondiale », in Philippe Alexandre, Reiner </w:t>
      </w:r>
      <w:proofErr w:type="spellStart"/>
      <w:r>
        <w:t>Marcowitz</w:t>
      </w:r>
      <w:proofErr w:type="spellEnd"/>
      <w:r>
        <w:t xml:space="preserve">, </w:t>
      </w:r>
      <w:proofErr w:type="spellStart"/>
      <w:proofErr w:type="gramStart"/>
      <w:r>
        <w:t>éds</w:t>
      </w:r>
      <w:proofErr w:type="spellEnd"/>
      <w:r>
        <w:t>./</w:t>
      </w:r>
      <w:proofErr w:type="gramEnd"/>
      <w:r>
        <w:t xml:space="preserve"> </w:t>
      </w:r>
      <w:proofErr w:type="spellStart"/>
      <w:r>
        <w:t>Hrsg</w:t>
      </w:r>
      <w:proofErr w:type="spellEnd"/>
      <w:r>
        <w:t xml:space="preserve">. : </w:t>
      </w:r>
      <w:r>
        <w:rPr>
          <w:rStyle w:val="Accentuation"/>
        </w:rPr>
        <w:t xml:space="preserve">L’Allemagne en 1913 : culture mémorielle et culture d’avant-guerre/ </w:t>
      </w:r>
      <w:proofErr w:type="spellStart"/>
      <w:r>
        <w:rPr>
          <w:rStyle w:val="Accentuation"/>
        </w:rPr>
        <w:t>Deutschland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im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Jahre</w:t>
      </w:r>
      <w:proofErr w:type="spellEnd"/>
      <w:r>
        <w:rPr>
          <w:rStyle w:val="Accentuation"/>
        </w:rPr>
        <w:t xml:space="preserve"> 1913 : </w:t>
      </w:r>
      <w:proofErr w:type="spellStart"/>
      <w:r>
        <w:rPr>
          <w:rStyle w:val="Accentuation"/>
        </w:rPr>
        <w:t>Erinnerungs</w:t>
      </w:r>
      <w:proofErr w:type="spellEnd"/>
      <w:r>
        <w:rPr>
          <w:rStyle w:val="Accentuation"/>
        </w:rPr>
        <w:t xml:space="preserve">- </w:t>
      </w:r>
      <w:proofErr w:type="spellStart"/>
      <w:r>
        <w:rPr>
          <w:rStyle w:val="Accentuation"/>
        </w:rPr>
        <w:t>und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Vorkriegskultur</w:t>
      </w:r>
      <w:proofErr w:type="spellEnd"/>
      <w:r>
        <w:t>, Nancy, Presses Universitaires de Nancy, 2013, pp. 271-285.</w:t>
      </w:r>
    </w:p>
    <w:p w:rsidR="00115055" w:rsidRDefault="00115055" w:rsidP="00115055">
      <w:pPr>
        <w:pStyle w:val="NormalWeb"/>
        <w:ind w:left="600"/>
      </w:pPr>
      <w:r>
        <w:t xml:space="preserve">35. « Willy Brandt et le procès de Nuremberg », in </w:t>
      </w:r>
      <w:r>
        <w:rPr>
          <w:rStyle w:val="Accentuation"/>
        </w:rPr>
        <w:t>Guerres mondiales et conflits contemporains</w:t>
      </w:r>
      <w:r>
        <w:t xml:space="preserve"> n° 252, Paris, Presses Universitaires de France, 2013, pp. 95-112.</w:t>
      </w:r>
    </w:p>
    <w:p w:rsidR="00115055" w:rsidRDefault="00115055" w:rsidP="00115055">
      <w:pPr>
        <w:pStyle w:val="NormalWeb"/>
        <w:ind w:left="600"/>
      </w:pPr>
      <w:r>
        <w:t xml:space="preserve">36. « Le roman de journaliste », in Sylvain </w:t>
      </w:r>
      <w:proofErr w:type="spellStart"/>
      <w:r>
        <w:t>Briens</w:t>
      </w:r>
      <w:proofErr w:type="spellEnd"/>
      <w:r>
        <w:t xml:space="preserve">, </w:t>
      </w:r>
      <w:proofErr w:type="spellStart"/>
      <w:r>
        <w:t>Mickaëlle</w:t>
      </w:r>
      <w:proofErr w:type="spellEnd"/>
      <w:r>
        <w:t xml:space="preserve"> </w:t>
      </w:r>
      <w:proofErr w:type="spellStart"/>
      <w:r>
        <w:t>Cedergren</w:t>
      </w:r>
      <w:proofErr w:type="spellEnd"/>
      <w:r>
        <w:t xml:space="preserve">, Marthe </w:t>
      </w:r>
      <w:proofErr w:type="spellStart"/>
      <w:r>
        <w:t>Segrestin</w:t>
      </w:r>
      <w:proofErr w:type="spellEnd"/>
      <w:r>
        <w:t xml:space="preserve">, Anna </w:t>
      </w:r>
      <w:proofErr w:type="spellStart"/>
      <w:r>
        <w:t>Svenbro</w:t>
      </w:r>
      <w:proofErr w:type="spellEnd"/>
      <w:r>
        <w:t xml:space="preserve"> : </w:t>
      </w:r>
      <w:r>
        <w:rPr>
          <w:rStyle w:val="Accentuation"/>
        </w:rPr>
        <w:t>Strindberg en héritage, Colloque de Paris (BnF), 27-29 septembre 2012</w:t>
      </w:r>
      <w:r>
        <w:t xml:space="preserve">, </w:t>
      </w:r>
      <w:r>
        <w:rPr>
          <w:rStyle w:val="Accentuation"/>
        </w:rPr>
        <w:t>Etudes Germaniques</w:t>
      </w:r>
      <w:r>
        <w:t xml:space="preserve"> Octobre-Décembre 2013, pp. 681-698.</w:t>
      </w:r>
    </w:p>
    <w:p w:rsidR="00115055" w:rsidRDefault="00115055" w:rsidP="00115055">
      <w:pPr>
        <w:pStyle w:val="NormalWeb"/>
        <w:ind w:left="600"/>
      </w:pPr>
      <w:r>
        <w:t>37. « </w:t>
      </w:r>
      <w:proofErr w:type="spellStart"/>
      <w:r>
        <w:t>Literarische</w:t>
      </w:r>
      <w:proofErr w:type="spellEnd"/>
      <w:r>
        <w:t xml:space="preserve"> </w:t>
      </w:r>
      <w:proofErr w:type="spellStart"/>
      <w:r>
        <w:t>Gestaltung</w:t>
      </w:r>
      <w:proofErr w:type="spellEnd"/>
      <w:r>
        <w:t xml:space="preserve"> </w:t>
      </w:r>
      <w:proofErr w:type="spellStart"/>
      <w:r>
        <w:t>pazifistischer</w:t>
      </w:r>
      <w:proofErr w:type="spellEnd"/>
      <w:r>
        <w:t xml:space="preserve"> </w:t>
      </w:r>
      <w:proofErr w:type="spellStart"/>
      <w:r>
        <w:t>Einstellungen</w:t>
      </w:r>
      <w:proofErr w:type="spellEnd"/>
      <w:r>
        <w:t xml:space="preserve"> in </w:t>
      </w:r>
      <w:proofErr w:type="spellStart"/>
      <w:r>
        <w:t>Schweden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Weltkrieg</w:t>
      </w:r>
      <w:proofErr w:type="spellEnd"/>
      <w:r>
        <w:t xml:space="preserve">: Selma </w:t>
      </w:r>
      <w:proofErr w:type="spellStart"/>
      <w:r>
        <w:t>Lagerlöfs</w:t>
      </w:r>
      <w:proofErr w:type="spellEnd"/>
      <w:r>
        <w:t xml:space="preserve"> </w:t>
      </w:r>
      <w:proofErr w:type="spellStart"/>
      <w:r>
        <w:rPr>
          <w:rStyle w:val="Accentuation"/>
        </w:rPr>
        <w:t>Das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heilige</w:t>
      </w:r>
      <w:proofErr w:type="spellEnd"/>
      <w:r>
        <w:rPr>
          <w:rStyle w:val="Accentuation"/>
        </w:rPr>
        <w:t xml:space="preserve"> Leben</w:t>
      </w:r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Hjalmar</w:t>
      </w:r>
      <w:proofErr w:type="spellEnd"/>
      <w:r>
        <w:t xml:space="preserve"> </w:t>
      </w:r>
      <w:proofErr w:type="spellStart"/>
      <w:r>
        <w:t>Söderbergs</w:t>
      </w:r>
      <w:proofErr w:type="spellEnd"/>
      <w:r>
        <w:t xml:space="preserve"> ‘Die </w:t>
      </w:r>
      <w:proofErr w:type="spellStart"/>
      <w:r>
        <w:t>Schicksalsstunde</w:t>
      </w:r>
      <w:proofErr w:type="spellEnd"/>
      <w:r>
        <w:t xml:space="preserve">’ », in </w:t>
      </w:r>
      <w:proofErr w:type="spellStart"/>
      <w:r>
        <w:t>Gislinde</w:t>
      </w:r>
      <w:proofErr w:type="spellEnd"/>
      <w:r>
        <w:t xml:space="preserve"> </w:t>
      </w:r>
      <w:proofErr w:type="spellStart"/>
      <w:r>
        <w:t>Seybert</w:t>
      </w:r>
      <w:proofErr w:type="spellEnd"/>
      <w:r>
        <w:t xml:space="preserve">, Thomas </w:t>
      </w:r>
      <w:proofErr w:type="spellStart"/>
      <w:r>
        <w:t>Stauder</w:t>
      </w:r>
      <w:proofErr w:type="spellEnd"/>
      <w:r>
        <w:t xml:space="preserve">, </w:t>
      </w:r>
      <w:proofErr w:type="spellStart"/>
      <w:r>
        <w:t>Hrsg</w:t>
      </w:r>
      <w:proofErr w:type="spellEnd"/>
      <w:r>
        <w:t>./</w:t>
      </w:r>
      <w:proofErr w:type="spellStart"/>
      <w:r>
        <w:t>éds</w:t>
      </w:r>
      <w:proofErr w:type="spellEnd"/>
      <w:r>
        <w:t>./</w:t>
      </w:r>
      <w:proofErr w:type="spellStart"/>
      <w:r>
        <w:t>eds</w:t>
      </w:r>
      <w:proofErr w:type="spellEnd"/>
      <w:r>
        <w:t xml:space="preserve">.: </w:t>
      </w:r>
      <w:proofErr w:type="spellStart"/>
      <w:r>
        <w:rPr>
          <w:rStyle w:val="Accentuation"/>
        </w:rPr>
        <w:t>Heroisches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Elend</w:t>
      </w:r>
      <w:proofErr w:type="spellEnd"/>
      <w:r>
        <w:rPr>
          <w:rStyle w:val="Accentuation"/>
        </w:rPr>
        <w:t>/ Misère de l’héroïsme/</w:t>
      </w:r>
      <w:proofErr w:type="spellStart"/>
      <w:r>
        <w:rPr>
          <w:rStyle w:val="Accentuation"/>
        </w:rPr>
        <w:t>Heroic</w:t>
      </w:r>
      <w:proofErr w:type="spellEnd"/>
      <w:r>
        <w:rPr>
          <w:rStyle w:val="Accentuation"/>
        </w:rPr>
        <w:t xml:space="preserve"> Misery, Der </w:t>
      </w:r>
      <w:proofErr w:type="spellStart"/>
      <w:r>
        <w:rPr>
          <w:rStyle w:val="Accentuation"/>
        </w:rPr>
        <w:t>Erste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Weltkrieg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im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intellektuellen</w:t>
      </w:r>
      <w:proofErr w:type="spellEnd"/>
      <w:r>
        <w:rPr>
          <w:rStyle w:val="Accentuation"/>
        </w:rPr>
        <w:t xml:space="preserve">, </w:t>
      </w:r>
      <w:proofErr w:type="spellStart"/>
      <w:r>
        <w:rPr>
          <w:rStyle w:val="Accentuation"/>
        </w:rPr>
        <w:t>literarischen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und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bildneriscben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Gedächtnis</w:t>
      </w:r>
      <w:proofErr w:type="spellEnd"/>
      <w:r>
        <w:rPr>
          <w:rStyle w:val="Accentuation"/>
        </w:rPr>
        <w:t xml:space="preserve"> der </w:t>
      </w:r>
      <w:proofErr w:type="spellStart"/>
      <w:r>
        <w:rPr>
          <w:rStyle w:val="Accentuation"/>
        </w:rPr>
        <w:t>europäischen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Kulturen</w:t>
      </w:r>
      <w:proofErr w:type="spellEnd"/>
      <w:r>
        <w:rPr>
          <w:rStyle w:val="Accentuation"/>
        </w:rPr>
        <w:t xml:space="preserve">/ La Première Guerre mondiale dans la mémoire intellectuelle, littéraire et artistique des cultures européennes/  The First World </w:t>
      </w:r>
      <w:proofErr w:type="spellStart"/>
      <w:r>
        <w:rPr>
          <w:rStyle w:val="Accentuation"/>
        </w:rPr>
        <w:t>War</w:t>
      </w:r>
      <w:proofErr w:type="spellEnd"/>
      <w:r>
        <w:rPr>
          <w:rStyle w:val="Accentuation"/>
        </w:rPr>
        <w:t xml:space="preserve"> in the </w:t>
      </w:r>
      <w:proofErr w:type="spellStart"/>
      <w:r>
        <w:rPr>
          <w:rStyle w:val="Accentuation"/>
        </w:rPr>
        <w:t>Intellectual</w:t>
      </w:r>
      <w:proofErr w:type="spellEnd"/>
      <w:r>
        <w:rPr>
          <w:rStyle w:val="Accentuation"/>
        </w:rPr>
        <w:t xml:space="preserve">, </w:t>
      </w:r>
      <w:proofErr w:type="spellStart"/>
      <w:r>
        <w:rPr>
          <w:rStyle w:val="Accentuation"/>
        </w:rPr>
        <w:t>Literary</w:t>
      </w:r>
      <w:proofErr w:type="spellEnd"/>
      <w:r>
        <w:rPr>
          <w:rStyle w:val="Accentuation"/>
        </w:rPr>
        <w:t xml:space="preserve"> and </w:t>
      </w:r>
      <w:proofErr w:type="spellStart"/>
      <w:r>
        <w:rPr>
          <w:rStyle w:val="Accentuation"/>
        </w:rPr>
        <w:t>Artistic</w:t>
      </w:r>
      <w:proofErr w:type="spellEnd"/>
      <w:r>
        <w:rPr>
          <w:rStyle w:val="Accentuation"/>
        </w:rPr>
        <w:t xml:space="preserve"> Memory </w:t>
      </w:r>
      <w:proofErr w:type="spellStart"/>
      <w:r>
        <w:rPr>
          <w:rStyle w:val="Accentuation"/>
        </w:rPr>
        <w:t>oft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he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European</w:t>
      </w:r>
      <w:proofErr w:type="spellEnd"/>
      <w:r>
        <w:rPr>
          <w:rStyle w:val="Accentuation"/>
        </w:rPr>
        <w:t xml:space="preserve"> Cultures</w:t>
      </w:r>
      <w:r>
        <w:t>, Frankfurt-</w:t>
      </w:r>
      <w:proofErr w:type="spellStart"/>
      <w:r>
        <w:t>am</w:t>
      </w:r>
      <w:proofErr w:type="spellEnd"/>
      <w:r>
        <w:t>-Main, Peter Lang, 2014, pp. 635-650.</w:t>
      </w:r>
    </w:p>
    <w:p w:rsidR="00115055" w:rsidRDefault="00115055" w:rsidP="00115055">
      <w:pPr>
        <w:pStyle w:val="NormalWeb"/>
        <w:ind w:left="600"/>
      </w:pPr>
      <w:r>
        <w:t xml:space="preserve">38. « Le Sápmi et les débuts du reportage moderne : Ester </w:t>
      </w:r>
      <w:proofErr w:type="spellStart"/>
      <w:r>
        <w:t>Blenda</w:t>
      </w:r>
      <w:proofErr w:type="spellEnd"/>
      <w:r>
        <w:t xml:space="preserve"> </w:t>
      </w:r>
      <w:proofErr w:type="spellStart"/>
      <w:r>
        <w:t>Nordström</w:t>
      </w:r>
      <w:proofErr w:type="spellEnd"/>
      <w:r>
        <w:t xml:space="preserve"> et le peuple des </w:t>
      </w:r>
      <w:proofErr w:type="spellStart"/>
      <w:r>
        <w:rPr>
          <w:rStyle w:val="Accentuation"/>
        </w:rPr>
        <w:t>kåtor</w:t>
      </w:r>
      <w:proofErr w:type="spellEnd"/>
      <w:r>
        <w:t xml:space="preserve"> », in : </w:t>
      </w:r>
      <w:proofErr w:type="spellStart"/>
      <w:r>
        <w:t>Kajsa</w:t>
      </w:r>
      <w:proofErr w:type="spellEnd"/>
      <w:r>
        <w:t xml:space="preserve"> Andersson, éd. : </w:t>
      </w:r>
      <w:r>
        <w:rPr>
          <w:rStyle w:val="Accentuation"/>
        </w:rPr>
        <w:t>L’image du Sápmi</w:t>
      </w:r>
      <w:r>
        <w:t xml:space="preserve">, vol. 3, Örebro, </w:t>
      </w:r>
      <w:proofErr w:type="spellStart"/>
      <w:r>
        <w:t>Humanistic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at Örebro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Umanistica</w:t>
      </w:r>
      <w:proofErr w:type="spellEnd"/>
      <w:r>
        <w:t xml:space="preserve"> </w:t>
      </w:r>
      <w:proofErr w:type="spellStart"/>
      <w:r>
        <w:t>Oerebroensia</w:t>
      </w:r>
      <w:proofErr w:type="spellEnd"/>
      <w:r>
        <w:t xml:space="preserve">. </w:t>
      </w:r>
      <w:proofErr w:type="spellStart"/>
      <w:r>
        <w:t>Artes</w:t>
      </w:r>
      <w:proofErr w:type="spellEnd"/>
      <w:r>
        <w:t xml:space="preserve"> et linguae 17, 2013, p. 364-391.</w:t>
      </w:r>
    </w:p>
    <w:p w:rsidR="00115055" w:rsidRDefault="00115055" w:rsidP="00115055">
      <w:pPr>
        <w:pStyle w:val="NormalWeb"/>
        <w:ind w:left="600"/>
      </w:pPr>
      <w:r>
        <w:rPr>
          <w:sz w:val="20"/>
          <w:szCs w:val="20"/>
        </w:rPr>
        <w:t>39. « </w:t>
      </w:r>
      <w:proofErr w:type="spellStart"/>
      <w:r>
        <w:rPr>
          <w:sz w:val="20"/>
          <w:szCs w:val="20"/>
        </w:rPr>
        <w:t>Literarische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Gestaltung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pazifistischer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Einstellungen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Schweden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Ersten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Weltkrieg</w:t>
      </w:r>
      <w:proofErr w:type="spellEnd"/>
      <w:r>
        <w:rPr>
          <w:sz w:val="20"/>
          <w:szCs w:val="20"/>
        </w:rPr>
        <w:t xml:space="preserve">: Selma </w:t>
      </w:r>
      <w:proofErr w:type="spellStart"/>
      <w:r>
        <w:rPr>
          <w:sz w:val="20"/>
          <w:szCs w:val="20"/>
        </w:rPr>
        <w:t>Lagerlöfs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Style w:val="Accentuation"/>
          <w:sz w:val="20"/>
          <w:szCs w:val="20"/>
        </w:rPr>
        <w:t>Das</w:t>
      </w:r>
      <w:proofErr w:type="spellEnd"/>
      <w:r>
        <w:rPr>
          <w:rStyle w:val="Accentuation"/>
          <w:sz w:val="20"/>
          <w:szCs w:val="20"/>
        </w:rPr>
        <w:t xml:space="preserve"> </w:t>
      </w:r>
      <w:proofErr w:type="spellStart"/>
      <w:r>
        <w:rPr>
          <w:rStyle w:val="Accentuation"/>
          <w:sz w:val="20"/>
          <w:szCs w:val="20"/>
        </w:rPr>
        <w:t>heilige</w:t>
      </w:r>
      <w:proofErr w:type="spellEnd"/>
      <w:r>
        <w:rPr>
          <w:rStyle w:val="Accentuation"/>
          <w:sz w:val="20"/>
          <w:szCs w:val="20"/>
        </w:rPr>
        <w:t xml:space="preserve"> Leben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Hjalmar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Söderbergs</w:t>
      </w:r>
      <w:proofErr w:type="spellEnd"/>
      <w:r>
        <w:rPr>
          <w:sz w:val="20"/>
          <w:szCs w:val="20"/>
        </w:rPr>
        <w:t xml:space="preserve"> ‘Die </w:t>
      </w:r>
      <w:proofErr w:type="spellStart"/>
      <w:r>
        <w:rPr>
          <w:sz w:val="20"/>
          <w:szCs w:val="20"/>
        </w:rPr>
        <w:t>Schicksalsstunde</w:t>
      </w:r>
      <w:proofErr w:type="spellEnd"/>
      <w:r>
        <w:rPr>
          <w:sz w:val="20"/>
          <w:szCs w:val="20"/>
        </w:rPr>
        <w:t xml:space="preserve">’ », in </w:t>
      </w:r>
      <w:proofErr w:type="spellStart"/>
      <w:r>
        <w:rPr>
          <w:sz w:val="20"/>
          <w:szCs w:val="20"/>
        </w:rPr>
        <w:t>Gislinde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Seybert</w:t>
      </w:r>
      <w:proofErr w:type="spellEnd"/>
      <w:r>
        <w:rPr>
          <w:sz w:val="20"/>
          <w:szCs w:val="20"/>
        </w:rPr>
        <w:t xml:space="preserve">, Thomas </w:t>
      </w:r>
      <w:proofErr w:type="spellStart"/>
      <w:r>
        <w:rPr>
          <w:sz w:val="20"/>
          <w:szCs w:val="20"/>
        </w:rPr>
        <w:t>Stauder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Hrsg</w:t>
      </w:r>
      <w:proofErr w:type="spellEnd"/>
      <w:r>
        <w:rPr>
          <w:sz w:val="20"/>
          <w:szCs w:val="20"/>
        </w:rPr>
        <w:t>./</w:t>
      </w:r>
      <w:proofErr w:type="spellStart"/>
      <w:r>
        <w:rPr>
          <w:sz w:val="20"/>
          <w:szCs w:val="20"/>
        </w:rPr>
        <w:t>éds</w:t>
      </w:r>
      <w:proofErr w:type="spellEnd"/>
      <w:r>
        <w:rPr>
          <w:sz w:val="20"/>
          <w:szCs w:val="20"/>
        </w:rPr>
        <w:t>./</w:t>
      </w:r>
      <w:proofErr w:type="spellStart"/>
      <w:r>
        <w:rPr>
          <w:sz w:val="20"/>
          <w:szCs w:val="20"/>
        </w:rPr>
        <w:t>eds</w:t>
      </w:r>
      <w:proofErr w:type="spellEnd"/>
      <w:r>
        <w:rPr>
          <w:sz w:val="20"/>
          <w:szCs w:val="20"/>
        </w:rPr>
        <w:t xml:space="preserve">.: </w:t>
      </w:r>
      <w:proofErr w:type="spellStart"/>
      <w:r>
        <w:rPr>
          <w:rStyle w:val="Accentuation"/>
          <w:sz w:val="20"/>
          <w:szCs w:val="20"/>
        </w:rPr>
        <w:t>Heroisches</w:t>
      </w:r>
      <w:proofErr w:type="spellEnd"/>
      <w:r>
        <w:rPr>
          <w:rStyle w:val="Accentuation"/>
          <w:sz w:val="20"/>
          <w:szCs w:val="20"/>
        </w:rPr>
        <w:t xml:space="preserve"> </w:t>
      </w:r>
      <w:proofErr w:type="spellStart"/>
      <w:r>
        <w:rPr>
          <w:rStyle w:val="Accentuation"/>
          <w:sz w:val="20"/>
          <w:szCs w:val="20"/>
        </w:rPr>
        <w:t>Elend</w:t>
      </w:r>
      <w:proofErr w:type="spellEnd"/>
      <w:r>
        <w:rPr>
          <w:rStyle w:val="Accentuation"/>
          <w:sz w:val="20"/>
          <w:szCs w:val="20"/>
        </w:rPr>
        <w:t>/ Misère de l’héroïsme/</w:t>
      </w:r>
      <w:proofErr w:type="spellStart"/>
      <w:r>
        <w:rPr>
          <w:rStyle w:val="Accentuation"/>
          <w:sz w:val="20"/>
          <w:szCs w:val="20"/>
        </w:rPr>
        <w:t>Heroic</w:t>
      </w:r>
      <w:proofErr w:type="spellEnd"/>
      <w:r>
        <w:rPr>
          <w:rStyle w:val="Accentuation"/>
          <w:sz w:val="20"/>
          <w:szCs w:val="20"/>
        </w:rPr>
        <w:t xml:space="preserve"> Misery, Der </w:t>
      </w:r>
      <w:proofErr w:type="spellStart"/>
      <w:r>
        <w:rPr>
          <w:rStyle w:val="Accentuation"/>
          <w:sz w:val="20"/>
          <w:szCs w:val="20"/>
        </w:rPr>
        <w:t>Erste</w:t>
      </w:r>
      <w:proofErr w:type="spellEnd"/>
      <w:r>
        <w:rPr>
          <w:rStyle w:val="Accentuation"/>
          <w:sz w:val="20"/>
          <w:szCs w:val="20"/>
        </w:rPr>
        <w:t xml:space="preserve"> </w:t>
      </w:r>
      <w:proofErr w:type="spellStart"/>
      <w:r>
        <w:rPr>
          <w:rStyle w:val="Accentuation"/>
          <w:sz w:val="20"/>
          <w:szCs w:val="20"/>
        </w:rPr>
        <w:t>Weltkrieg</w:t>
      </w:r>
      <w:proofErr w:type="spellEnd"/>
      <w:r>
        <w:rPr>
          <w:rStyle w:val="Accentuation"/>
          <w:sz w:val="20"/>
          <w:szCs w:val="20"/>
        </w:rPr>
        <w:t xml:space="preserve"> </w:t>
      </w:r>
      <w:proofErr w:type="spellStart"/>
      <w:r>
        <w:rPr>
          <w:rStyle w:val="Accentuation"/>
          <w:sz w:val="20"/>
          <w:szCs w:val="20"/>
        </w:rPr>
        <w:t>im</w:t>
      </w:r>
      <w:proofErr w:type="spellEnd"/>
      <w:r>
        <w:rPr>
          <w:rStyle w:val="Accentuation"/>
          <w:sz w:val="20"/>
          <w:szCs w:val="20"/>
        </w:rPr>
        <w:t xml:space="preserve"> </w:t>
      </w:r>
      <w:proofErr w:type="spellStart"/>
      <w:r>
        <w:rPr>
          <w:rStyle w:val="Accentuation"/>
          <w:sz w:val="20"/>
          <w:szCs w:val="20"/>
        </w:rPr>
        <w:t>intellektuellen</w:t>
      </w:r>
      <w:proofErr w:type="spellEnd"/>
      <w:r>
        <w:rPr>
          <w:rStyle w:val="Accentuation"/>
          <w:sz w:val="20"/>
          <w:szCs w:val="20"/>
        </w:rPr>
        <w:t xml:space="preserve">, </w:t>
      </w:r>
      <w:proofErr w:type="spellStart"/>
      <w:r>
        <w:rPr>
          <w:rStyle w:val="Accentuation"/>
          <w:sz w:val="20"/>
          <w:szCs w:val="20"/>
        </w:rPr>
        <w:t>literarischen</w:t>
      </w:r>
      <w:proofErr w:type="spellEnd"/>
      <w:r>
        <w:rPr>
          <w:rStyle w:val="Accentuation"/>
          <w:sz w:val="20"/>
          <w:szCs w:val="20"/>
        </w:rPr>
        <w:t xml:space="preserve"> </w:t>
      </w:r>
      <w:proofErr w:type="spellStart"/>
      <w:r>
        <w:rPr>
          <w:rStyle w:val="Accentuation"/>
          <w:sz w:val="20"/>
          <w:szCs w:val="20"/>
        </w:rPr>
        <w:t>und</w:t>
      </w:r>
      <w:proofErr w:type="spellEnd"/>
      <w:r>
        <w:rPr>
          <w:rStyle w:val="Accentuation"/>
          <w:sz w:val="20"/>
          <w:szCs w:val="20"/>
        </w:rPr>
        <w:t xml:space="preserve"> </w:t>
      </w:r>
      <w:proofErr w:type="spellStart"/>
      <w:r>
        <w:rPr>
          <w:rStyle w:val="Accentuation"/>
          <w:sz w:val="20"/>
          <w:szCs w:val="20"/>
        </w:rPr>
        <w:t>bildneriscben</w:t>
      </w:r>
      <w:proofErr w:type="spellEnd"/>
      <w:r>
        <w:rPr>
          <w:rStyle w:val="Accentuation"/>
          <w:sz w:val="20"/>
          <w:szCs w:val="20"/>
        </w:rPr>
        <w:t xml:space="preserve"> </w:t>
      </w:r>
      <w:proofErr w:type="spellStart"/>
      <w:r>
        <w:rPr>
          <w:rStyle w:val="Accentuation"/>
          <w:sz w:val="20"/>
          <w:szCs w:val="20"/>
        </w:rPr>
        <w:t>Gedächtnis</w:t>
      </w:r>
      <w:proofErr w:type="spellEnd"/>
      <w:r>
        <w:rPr>
          <w:rStyle w:val="Accentuation"/>
          <w:sz w:val="20"/>
          <w:szCs w:val="20"/>
        </w:rPr>
        <w:t xml:space="preserve"> der </w:t>
      </w:r>
      <w:proofErr w:type="spellStart"/>
      <w:r>
        <w:rPr>
          <w:rStyle w:val="Accentuation"/>
          <w:sz w:val="20"/>
          <w:szCs w:val="20"/>
        </w:rPr>
        <w:t>europäischen</w:t>
      </w:r>
      <w:proofErr w:type="spellEnd"/>
      <w:r>
        <w:rPr>
          <w:rStyle w:val="Accentuation"/>
          <w:sz w:val="20"/>
          <w:szCs w:val="20"/>
        </w:rPr>
        <w:t xml:space="preserve"> </w:t>
      </w:r>
      <w:proofErr w:type="spellStart"/>
      <w:r>
        <w:rPr>
          <w:rStyle w:val="Accentuation"/>
          <w:sz w:val="20"/>
          <w:szCs w:val="20"/>
        </w:rPr>
        <w:t>Kulturen</w:t>
      </w:r>
      <w:proofErr w:type="spellEnd"/>
      <w:r>
        <w:rPr>
          <w:rStyle w:val="Accentuation"/>
          <w:sz w:val="20"/>
          <w:szCs w:val="20"/>
        </w:rPr>
        <w:t xml:space="preserve">/ La Première Guerre mondiale dans la mémoire intellectuelle, littéraire et artistique des </w:t>
      </w:r>
      <w:r>
        <w:rPr>
          <w:rStyle w:val="Accentuation"/>
          <w:sz w:val="20"/>
          <w:szCs w:val="20"/>
        </w:rPr>
        <w:lastRenderedPageBreak/>
        <w:t xml:space="preserve">cultures européennes/  The First World </w:t>
      </w:r>
      <w:proofErr w:type="spellStart"/>
      <w:r>
        <w:rPr>
          <w:rStyle w:val="Accentuation"/>
          <w:sz w:val="20"/>
          <w:szCs w:val="20"/>
        </w:rPr>
        <w:t>War</w:t>
      </w:r>
      <w:proofErr w:type="spellEnd"/>
      <w:r>
        <w:rPr>
          <w:rStyle w:val="Accentuation"/>
          <w:sz w:val="20"/>
          <w:szCs w:val="20"/>
        </w:rPr>
        <w:t xml:space="preserve"> in the </w:t>
      </w:r>
      <w:proofErr w:type="spellStart"/>
      <w:r>
        <w:rPr>
          <w:rStyle w:val="Accentuation"/>
          <w:sz w:val="20"/>
          <w:szCs w:val="20"/>
        </w:rPr>
        <w:t>Intellectual</w:t>
      </w:r>
      <w:proofErr w:type="spellEnd"/>
      <w:r>
        <w:rPr>
          <w:rStyle w:val="Accentuation"/>
          <w:sz w:val="20"/>
          <w:szCs w:val="20"/>
        </w:rPr>
        <w:t xml:space="preserve">, </w:t>
      </w:r>
      <w:proofErr w:type="spellStart"/>
      <w:r>
        <w:rPr>
          <w:rStyle w:val="Accentuation"/>
          <w:sz w:val="20"/>
          <w:szCs w:val="20"/>
        </w:rPr>
        <w:t>Literary</w:t>
      </w:r>
      <w:proofErr w:type="spellEnd"/>
      <w:r>
        <w:rPr>
          <w:rStyle w:val="Accentuation"/>
          <w:sz w:val="20"/>
          <w:szCs w:val="20"/>
        </w:rPr>
        <w:t xml:space="preserve"> and </w:t>
      </w:r>
      <w:proofErr w:type="spellStart"/>
      <w:r>
        <w:rPr>
          <w:rStyle w:val="Accentuation"/>
          <w:sz w:val="20"/>
          <w:szCs w:val="20"/>
        </w:rPr>
        <w:t>Artistic</w:t>
      </w:r>
      <w:proofErr w:type="spellEnd"/>
      <w:r>
        <w:rPr>
          <w:rStyle w:val="Accentuation"/>
          <w:sz w:val="20"/>
          <w:szCs w:val="20"/>
        </w:rPr>
        <w:t xml:space="preserve"> Memory </w:t>
      </w:r>
      <w:proofErr w:type="spellStart"/>
      <w:r>
        <w:rPr>
          <w:rStyle w:val="Accentuation"/>
          <w:sz w:val="20"/>
          <w:szCs w:val="20"/>
        </w:rPr>
        <w:t>oft</w:t>
      </w:r>
      <w:proofErr w:type="spellEnd"/>
      <w:r>
        <w:rPr>
          <w:rStyle w:val="Accentuation"/>
          <w:sz w:val="20"/>
          <w:szCs w:val="20"/>
        </w:rPr>
        <w:t xml:space="preserve"> </w:t>
      </w:r>
      <w:proofErr w:type="spellStart"/>
      <w:r>
        <w:rPr>
          <w:rStyle w:val="Accentuation"/>
          <w:sz w:val="20"/>
          <w:szCs w:val="20"/>
        </w:rPr>
        <w:t>he</w:t>
      </w:r>
      <w:proofErr w:type="spellEnd"/>
      <w:r>
        <w:rPr>
          <w:rStyle w:val="Accentuation"/>
          <w:sz w:val="20"/>
          <w:szCs w:val="20"/>
        </w:rPr>
        <w:t xml:space="preserve"> </w:t>
      </w:r>
      <w:proofErr w:type="spellStart"/>
      <w:r>
        <w:rPr>
          <w:rStyle w:val="Accentuation"/>
          <w:sz w:val="20"/>
          <w:szCs w:val="20"/>
        </w:rPr>
        <w:t>European</w:t>
      </w:r>
      <w:proofErr w:type="spellEnd"/>
      <w:r>
        <w:rPr>
          <w:rStyle w:val="Accentuation"/>
          <w:sz w:val="20"/>
          <w:szCs w:val="20"/>
        </w:rPr>
        <w:t xml:space="preserve"> Cultures</w:t>
      </w:r>
      <w:r>
        <w:rPr>
          <w:sz w:val="20"/>
          <w:szCs w:val="20"/>
        </w:rPr>
        <w:t>, Frankfurt-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>-Main, Peter Lang, 2014, pp. 635-650.</w:t>
      </w:r>
    </w:p>
    <w:p w:rsidR="00115055" w:rsidRDefault="00115055" w:rsidP="00115055">
      <w:pPr>
        <w:pStyle w:val="NormalWeb"/>
        <w:ind w:left="600"/>
      </w:pPr>
      <w:r>
        <w:rPr>
          <w:sz w:val="20"/>
          <w:szCs w:val="20"/>
        </w:rPr>
        <w:t>40. « </w:t>
      </w:r>
      <w:proofErr w:type="spellStart"/>
      <w:r>
        <w:rPr>
          <w:sz w:val="20"/>
          <w:szCs w:val="20"/>
        </w:rPr>
        <w:t>Ethischer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Optimismus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Demokratie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bei</w:t>
      </w:r>
      <w:proofErr w:type="spellEnd"/>
      <w:r>
        <w:rPr>
          <w:sz w:val="20"/>
          <w:szCs w:val="20"/>
        </w:rPr>
        <w:t xml:space="preserve"> Selma Lagerlöf », in </w:t>
      </w:r>
      <w:r>
        <w:rPr>
          <w:rStyle w:val="Accentuation"/>
          <w:sz w:val="20"/>
          <w:szCs w:val="20"/>
        </w:rPr>
        <w:t>Etudes Germaniques</w:t>
      </w:r>
      <w:r>
        <w:rPr>
          <w:sz w:val="20"/>
          <w:szCs w:val="20"/>
        </w:rPr>
        <w:t>, juillet-septembre 2015, Numéro 3, p. 493-502.</w:t>
      </w:r>
    </w:p>
    <w:p w:rsidR="00115055" w:rsidRDefault="00115055" w:rsidP="00115055">
      <w:pPr>
        <w:pStyle w:val="NormalWeb"/>
        <w:ind w:left="600"/>
      </w:pPr>
      <w:r>
        <w:rPr>
          <w:sz w:val="20"/>
          <w:szCs w:val="20"/>
        </w:rPr>
        <w:t xml:space="preserve">41. « Romain Rolland, Prix Nobel de Littérature 1915. Quelques documents » (traduction de documents), in </w:t>
      </w:r>
      <w:r>
        <w:rPr>
          <w:rStyle w:val="Accentuation"/>
          <w:sz w:val="20"/>
          <w:szCs w:val="20"/>
        </w:rPr>
        <w:t>Cahiers de Brèves - Etudes Romain Rolland</w:t>
      </w:r>
      <w:r>
        <w:rPr>
          <w:sz w:val="20"/>
          <w:szCs w:val="20"/>
        </w:rPr>
        <w:t>, Association Romain Rolland, n° 35, juin 2015, p. 52-60.</w:t>
      </w:r>
    </w:p>
    <w:p w:rsidR="00115055" w:rsidRDefault="00115055" w:rsidP="00115055">
      <w:pPr>
        <w:pStyle w:val="NormalWeb"/>
        <w:ind w:left="600"/>
      </w:pPr>
      <w:r w:rsidRPr="00115055">
        <w:rPr>
          <w:sz w:val="20"/>
          <w:szCs w:val="20"/>
          <w:lang w:val="en-US"/>
        </w:rPr>
        <w:t>42. « 40-talisterna och Strindberg », in David Gedin, Roland Lysell, Willmar Sauter, Per Stam, éds. :</w:t>
      </w:r>
      <w:r w:rsidRPr="00115055">
        <w:rPr>
          <w:rStyle w:val="Accentuation"/>
          <w:sz w:val="20"/>
          <w:szCs w:val="20"/>
          <w:lang w:val="en-US"/>
        </w:rPr>
        <w:t>Arvet efter Strindberg/ The Strindberg Legacy. Elva bidrag fr</w:t>
      </w:r>
      <w:r w:rsidRPr="00115055">
        <w:rPr>
          <w:rStyle w:val="Accentuation"/>
          <w:sz w:val="20"/>
          <w:szCs w:val="20"/>
          <w:lang w:val="en-US"/>
        </w:rPr>
        <w:softHyphen/>
      </w:r>
      <w:r w:rsidRPr="00115055">
        <w:rPr>
          <w:rStyle w:val="Accentuation"/>
          <w:sz w:val="20"/>
          <w:szCs w:val="20"/>
          <w:lang w:val="en-US"/>
        </w:rPr>
        <w:softHyphen/>
      </w:r>
      <w:r w:rsidRPr="00115055">
        <w:rPr>
          <w:rStyle w:val="Accentuation"/>
          <w:sz w:val="20"/>
          <w:szCs w:val="20"/>
          <w:lang w:val="en-US"/>
        </w:rPr>
        <w:softHyphen/>
      </w:r>
      <w:r w:rsidRPr="00115055">
        <w:rPr>
          <w:rStyle w:val="Accentuation"/>
          <w:sz w:val="20"/>
          <w:szCs w:val="20"/>
          <w:lang w:val="en-US"/>
        </w:rPr>
        <w:softHyphen/>
        <w:t>ån den artonde internationella Strindbergskonferensen</w:t>
      </w:r>
      <w:r w:rsidRPr="00115055">
        <w:rPr>
          <w:sz w:val="20"/>
          <w:szCs w:val="20"/>
          <w:lang w:val="en-US"/>
        </w:rPr>
        <w:t xml:space="preserve">, Stockholm, Acta Universitatis Stockholmiensis, 2014, p. 83-92. </w:t>
      </w:r>
      <w:r>
        <w:rPr>
          <w:sz w:val="20"/>
          <w:szCs w:val="20"/>
        </w:rPr>
        <w:t>(Actes de la "18e Conférence Internationale Strindberg", Université de Stockholm, 31 mai au 3 juin 2012.)</w:t>
      </w:r>
    </w:p>
    <w:p w:rsidR="00115055" w:rsidRDefault="00115055" w:rsidP="00115055">
      <w:pPr>
        <w:pStyle w:val="NormalWeb"/>
        <w:ind w:left="600"/>
      </w:pPr>
      <w:r>
        <w:rPr>
          <w:sz w:val="20"/>
          <w:szCs w:val="20"/>
        </w:rPr>
        <w:t>43. « Le stade, miroir, reconfiguration et victime du 20</w:t>
      </w:r>
      <w:r>
        <w:rPr>
          <w:vertAlign w:val="superscript"/>
        </w:rPr>
        <w:t>e</w:t>
      </w:r>
      <w:r>
        <w:rPr>
          <w:sz w:val="20"/>
          <w:szCs w:val="20"/>
        </w:rPr>
        <w:t xml:space="preserve"> siècle : </w:t>
      </w:r>
      <w:r>
        <w:rPr>
          <w:rStyle w:val="Accentuation"/>
          <w:sz w:val="20"/>
          <w:szCs w:val="20"/>
        </w:rPr>
        <w:t>La cathédrale olympique</w:t>
      </w:r>
      <w:r>
        <w:rPr>
          <w:sz w:val="20"/>
          <w:szCs w:val="20"/>
        </w:rPr>
        <w:t xml:space="preserve"> de Per </w:t>
      </w:r>
      <w:proofErr w:type="spellStart"/>
      <w:r>
        <w:rPr>
          <w:sz w:val="20"/>
          <w:szCs w:val="20"/>
        </w:rPr>
        <w:t>Olov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Enquist</w:t>
      </w:r>
      <w:proofErr w:type="spellEnd"/>
      <w:r>
        <w:rPr>
          <w:sz w:val="20"/>
          <w:szCs w:val="20"/>
        </w:rPr>
        <w:t xml:space="preserve"> », in Kim </w:t>
      </w:r>
      <w:proofErr w:type="spellStart"/>
      <w:r>
        <w:rPr>
          <w:sz w:val="20"/>
          <w:szCs w:val="20"/>
        </w:rPr>
        <w:t>Andringa</w:t>
      </w:r>
      <w:proofErr w:type="spellEnd"/>
      <w:r>
        <w:rPr>
          <w:sz w:val="20"/>
          <w:szCs w:val="20"/>
        </w:rPr>
        <w:t xml:space="preserve">, Frédérique Harry, Agathe </w:t>
      </w:r>
      <w:proofErr w:type="spellStart"/>
      <w:r>
        <w:rPr>
          <w:sz w:val="20"/>
          <w:szCs w:val="20"/>
        </w:rPr>
        <w:t>Mareuge</w:t>
      </w:r>
      <w:proofErr w:type="spellEnd"/>
      <w:r>
        <w:rPr>
          <w:sz w:val="20"/>
          <w:szCs w:val="20"/>
        </w:rPr>
        <w:t xml:space="preserve">, Bénédicte Terrisse, éd. : </w:t>
      </w:r>
      <w:r>
        <w:rPr>
          <w:rStyle w:val="Accentuation"/>
          <w:sz w:val="20"/>
          <w:szCs w:val="20"/>
        </w:rPr>
        <w:t xml:space="preserve">Ding, ding, </w:t>
      </w:r>
      <w:proofErr w:type="spellStart"/>
      <w:r>
        <w:rPr>
          <w:rStyle w:val="Accentuation"/>
          <w:sz w:val="20"/>
          <w:szCs w:val="20"/>
        </w:rPr>
        <w:t>ting</w:t>
      </w:r>
      <w:proofErr w:type="spellEnd"/>
      <w:r>
        <w:rPr>
          <w:rStyle w:val="Accentuation"/>
          <w:sz w:val="20"/>
          <w:szCs w:val="20"/>
        </w:rPr>
        <w:t> : objets médiateurs de culture. Espaces germanophone, néerlandophone et nordique</w:t>
      </w:r>
      <w:r>
        <w:rPr>
          <w:sz w:val="20"/>
          <w:szCs w:val="20"/>
        </w:rPr>
        <w:t xml:space="preserve">, Paris, </w:t>
      </w:r>
      <w:proofErr w:type="spellStart"/>
      <w:r>
        <w:rPr>
          <w:sz w:val="20"/>
          <w:szCs w:val="20"/>
        </w:rPr>
        <w:t>L’Harmattan</w:t>
      </w:r>
      <w:proofErr w:type="spellEnd"/>
      <w:r>
        <w:rPr>
          <w:sz w:val="20"/>
          <w:szCs w:val="20"/>
        </w:rPr>
        <w:t xml:space="preserve">, 2015, p. 49-65. (Actes du colloque « Ding, ding, </w:t>
      </w:r>
      <w:proofErr w:type="spellStart"/>
      <w:r>
        <w:rPr>
          <w:sz w:val="20"/>
          <w:szCs w:val="20"/>
        </w:rPr>
        <w:t>ting</w:t>
      </w:r>
      <w:proofErr w:type="spellEnd"/>
      <w:r>
        <w:rPr>
          <w:sz w:val="20"/>
          <w:szCs w:val="20"/>
        </w:rPr>
        <w:t> : objets médiateurs de culture. Espaces germanophone, néerlandophone et nordique » Université Paris IV, 11 au 13 avril 2013)</w:t>
      </w:r>
    </w:p>
    <w:p w:rsidR="00115055" w:rsidRDefault="00115055" w:rsidP="00115055">
      <w:pPr>
        <w:pStyle w:val="NormalWeb"/>
        <w:ind w:left="600"/>
      </w:pPr>
      <w:r w:rsidRPr="00115055">
        <w:rPr>
          <w:sz w:val="20"/>
          <w:szCs w:val="20"/>
          <w:lang w:val="en-US"/>
        </w:rPr>
        <w:t xml:space="preserve">44. « Hohe oder niedere Kriminalliteratur? Henning Mankells </w:t>
      </w:r>
      <w:r w:rsidRPr="00115055">
        <w:rPr>
          <w:rStyle w:val="Accentuation"/>
          <w:sz w:val="20"/>
          <w:szCs w:val="20"/>
          <w:lang w:val="en-US"/>
        </w:rPr>
        <w:t>Danslärarens återkomst</w:t>
      </w:r>
      <w:r w:rsidRPr="00115055">
        <w:rPr>
          <w:sz w:val="20"/>
          <w:szCs w:val="20"/>
          <w:lang w:val="en-US"/>
        </w:rPr>
        <w:t xml:space="preserve"> und Stefan Slupetzkys </w:t>
      </w:r>
      <w:r w:rsidRPr="00115055">
        <w:rPr>
          <w:rStyle w:val="Accentuation"/>
          <w:sz w:val="20"/>
          <w:szCs w:val="20"/>
          <w:lang w:val="en-US"/>
        </w:rPr>
        <w:t>Der Fall des Lemming </w:t>
      </w:r>
      <w:r w:rsidRPr="00115055">
        <w:rPr>
          <w:sz w:val="20"/>
          <w:szCs w:val="20"/>
          <w:lang w:val="en-US"/>
        </w:rPr>
        <w:t xml:space="preserve">», in Annie Bourguignon, Konrad Harrer, Franz Hintereder-Emde, Hg.: </w:t>
      </w:r>
      <w:r w:rsidRPr="00115055">
        <w:rPr>
          <w:rStyle w:val="Accentuation"/>
          <w:sz w:val="20"/>
          <w:szCs w:val="20"/>
          <w:lang w:val="en-US"/>
        </w:rPr>
        <w:t>Hohe und niedere Literatur. Tendenzen zur Ausgrenzung, Vereinnahmung und Mischung im deutschsprachigen Raum</w:t>
      </w:r>
      <w:r w:rsidRPr="00115055">
        <w:rPr>
          <w:sz w:val="20"/>
          <w:szCs w:val="20"/>
          <w:lang w:val="en-US"/>
        </w:rPr>
        <w:t xml:space="preserve">, Berlin, Frank &amp; Timme, 2015, p.341-353. </w:t>
      </w:r>
      <w:r>
        <w:rPr>
          <w:sz w:val="20"/>
          <w:szCs w:val="20"/>
        </w:rPr>
        <w:t xml:space="preserve">(Actes du colloque "Hohe </w:t>
      </w:r>
      <w:proofErr w:type="spellStart"/>
      <w:r>
        <w:rPr>
          <w:sz w:val="20"/>
          <w:szCs w:val="20"/>
        </w:rPr>
        <w:t>und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niedere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Literatur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Tendenzen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Ausgrenzung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Vereinnahmung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Mischung</w:t>
      </w:r>
      <w:proofErr w:type="spellEnd"/>
      <w:r>
        <w:rPr>
          <w:sz w:val="20"/>
          <w:szCs w:val="20"/>
        </w:rPr>
        <w:t>", Université de Lorraine (Nancy), 28 au 30 novembre 2013.)</w:t>
      </w:r>
    </w:p>
    <w:p w:rsidR="00115055" w:rsidRPr="00115055" w:rsidRDefault="00115055" w:rsidP="00115055">
      <w:pPr>
        <w:pStyle w:val="NormalWeb"/>
        <w:ind w:left="600"/>
        <w:rPr>
          <w:lang w:val="en-US"/>
        </w:rPr>
      </w:pPr>
      <w:r w:rsidRPr="00115055">
        <w:rPr>
          <w:sz w:val="20"/>
          <w:szCs w:val="20"/>
          <w:lang w:val="en-US"/>
        </w:rPr>
        <w:t xml:space="preserve">45. « Var går gränsen mellan jaget och makterna ? » in: Massimo Ciaravolo, Ed.: </w:t>
      </w:r>
      <w:r w:rsidRPr="00115055">
        <w:rPr>
          <w:rStyle w:val="Accentuation"/>
          <w:sz w:val="20"/>
          <w:szCs w:val="20"/>
          <w:lang w:val="en-US"/>
        </w:rPr>
        <w:t>Strindberg across borders</w:t>
      </w:r>
      <w:r w:rsidRPr="00115055">
        <w:rPr>
          <w:sz w:val="20"/>
          <w:szCs w:val="20"/>
          <w:lang w:val="en-US"/>
        </w:rPr>
        <w:t xml:space="preserve"> [Actes de </w:t>
      </w:r>
      <w:r w:rsidRPr="00115055">
        <w:rPr>
          <w:rStyle w:val="Accentuation"/>
          <w:sz w:val="20"/>
          <w:szCs w:val="20"/>
          <w:lang w:val="en-US"/>
        </w:rPr>
        <w:t>The 19th International Strindberg Conference „Strindberg across borders“</w:t>
      </w:r>
      <w:r w:rsidRPr="00115055">
        <w:rPr>
          <w:sz w:val="20"/>
          <w:szCs w:val="20"/>
          <w:lang w:val="en-US"/>
        </w:rPr>
        <w:t>, Rome, Istituto italiano di studi germanici, 5-7 juin 2014], Roma, Istituto Italiano Studi Germanici, 2016, p. 139-149.</w:t>
      </w:r>
    </w:p>
    <w:p w:rsidR="00115055" w:rsidRDefault="00115055" w:rsidP="00115055">
      <w:pPr>
        <w:pStyle w:val="NormalWeb"/>
        <w:ind w:left="600"/>
      </w:pPr>
      <w:r w:rsidRPr="00115055">
        <w:rPr>
          <w:sz w:val="20"/>
          <w:szCs w:val="20"/>
          <w:lang w:val="en-US"/>
        </w:rPr>
        <w:t xml:space="preserve">46. « Weder moralischer Kitsch noch kitschige Moral? der Fall </w:t>
      </w:r>
      <w:r w:rsidRPr="00115055">
        <w:rPr>
          <w:rStyle w:val="Accentuation"/>
          <w:sz w:val="20"/>
          <w:szCs w:val="20"/>
          <w:lang w:val="en-US"/>
        </w:rPr>
        <w:t>Nils Holgersson </w:t>
      </w:r>
      <w:r w:rsidRPr="00115055">
        <w:rPr>
          <w:sz w:val="20"/>
          <w:szCs w:val="20"/>
          <w:lang w:val="en-US"/>
        </w:rPr>
        <w:t xml:space="preserve">», in Annie Bourguignon, Konrad Harrer, Franz Hintereder-Emde, Hg.: </w:t>
      </w:r>
      <w:r w:rsidRPr="00115055">
        <w:rPr>
          <w:rStyle w:val="Accentuation"/>
          <w:sz w:val="20"/>
          <w:szCs w:val="20"/>
          <w:lang w:val="en-US"/>
        </w:rPr>
        <w:t>Zwischen Kanon und Unterhaltung/ Between Canon and Entertainment</w:t>
      </w:r>
      <w:r w:rsidRPr="00115055">
        <w:rPr>
          <w:sz w:val="20"/>
          <w:szCs w:val="20"/>
          <w:lang w:val="en-US"/>
        </w:rPr>
        <w:t xml:space="preserve">, Berlin, Frank &amp; Timme, 2016, p. 287-300. </w:t>
      </w:r>
      <w:r>
        <w:rPr>
          <w:sz w:val="20"/>
          <w:szCs w:val="20"/>
        </w:rPr>
        <w:t xml:space="preserve">(Actes du colloque "Hohe </w:t>
      </w:r>
      <w:proofErr w:type="spellStart"/>
      <w:r>
        <w:rPr>
          <w:sz w:val="20"/>
          <w:szCs w:val="20"/>
        </w:rPr>
        <w:t>und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niedere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Literatur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Tendenzen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Ausgrenzung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Vereinnahmung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Mischung</w:t>
      </w:r>
      <w:proofErr w:type="spellEnd"/>
      <w:r>
        <w:rPr>
          <w:sz w:val="20"/>
          <w:szCs w:val="20"/>
        </w:rPr>
        <w:t>", Université de Yamaguchi (Japon), 26 au 28 mars 2015.)</w:t>
      </w:r>
    </w:p>
    <w:p w:rsidR="00115055" w:rsidRDefault="00115055" w:rsidP="00115055">
      <w:pPr>
        <w:pStyle w:val="NormalWeb"/>
      </w:pPr>
    </w:p>
    <w:p w:rsidR="00115055" w:rsidRDefault="00115055" w:rsidP="00115055">
      <w:pPr>
        <w:pStyle w:val="Titre3"/>
        <w:ind w:left="360"/>
        <w:jc w:val="center"/>
      </w:pPr>
      <w:r>
        <w:rPr>
          <w:rStyle w:val="lev"/>
          <w:b/>
          <w:bCs/>
        </w:rPr>
        <w:t>Ouvrage pédagogique</w:t>
      </w:r>
    </w:p>
    <w:p w:rsidR="00115055" w:rsidRDefault="00115055" w:rsidP="00115055">
      <w:pPr>
        <w:pStyle w:val="NormalWeb"/>
      </w:pPr>
    </w:p>
    <w:p w:rsidR="00115055" w:rsidRDefault="00115055" w:rsidP="00115055">
      <w:pPr>
        <w:pStyle w:val="NormalWeb"/>
        <w:ind w:left="600"/>
      </w:pPr>
      <w:r>
        <w:t xml:space="preserve">1. Coauteur, avec Eva </w:t>
      </w:r>
      <w:proofErr w:type="spellStart"/>
      <w:r>
        <w:t>Aniansson</w:t>
      </w:r>
      <w:proofErr w:type="spellEnd"/>
      <w:r>
        <w:t xml:space="preserve"> et </w:t>
      </w:r>
      <w:proofErr w:type="spellStart"/>
      <w:r>
        <w:t>Patrik</w:t>
      </w:r>
      <w:proofErr w:type="spellEnd"/>
      <w:r>
        <w:t xml:space="preserve"> </w:t>
      </w:r>
      <w:proofErr w:type="spellStart"/>
      <w:r>
        <w:t>Wallbom</w:t>
      </w:r>
      <w:proofErr w:type="spellEnd"/>
      <w:r>
        <w:t xml:space="preserve">, du </w:t>
      </w:r>
      <w:proofErr w:type="spellStart"/>
      <w:r>
        <w:t>CD-rom</w:t>
      </w:r>
      <w:proofErr w:type="spellEnd"/>
      <w:r>
        <w:t xml:space="preserve"> d’initiation à la langue et à la culture suédoise Découverte Langue et </w:t>
      </w:r>
      <w:proofErr w:type="gramStart"/>
      <w:r>
        <w:t>Culture:</w:t>
      </w:r>
      <w:proofErr w:type="gramEnd"/>
      <w:r>
        <w:t xml:space="preserve"> la Suède, réalisé par l’institut d’études scandinaves de l’université Nancy 2, sous la direction de Marc </w:t>
      </w:r>
      <w:proofErr w:type="spellStart"/>
      <w:r>
        <w:t>Auchet</w:t>
      </w:r>
      <w:proofErr w:type="spellEnd"/>
      <w:r>
        <w:t>, Université Nancy 2, 2000.</w:t>
      </w:r>
    </w:p>
    <w:p w:rsidR="0090377F" w:rsidRPr="00115055" w:rsidRDefault="0090377F" w:rsidP="00115055"/>
    <w:sectPr w:rsidR="0090377F" w:rsidRPr="00115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75119"/>
    <w:multiLevelType w:val="multilevel"/>
    <w:tmpl w:val="C432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741A2"/>
    <w:multiLevelType w:val="multilevel"/>
    <w:tmpl w:val="326E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D223D"/>
    <w:multiLevelType w:val="multilevel"/>
    <w:tmpl w:val="7DD61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A4121"/>
    <w:multiLevelType w:val="multilevel"/>
    <w:tmpl w:val="7DBC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77EA5"/>
    <w:multiLevelType w:val="multilevel"/>
    <w:tmpl w:val="C01C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460E89"/>
    <w:multiLevelType w:val="multilevel"/>
    <w:tmpl w:val="BBA0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C4689"/>
    <w:multiLevelType w:val="multilevel"/>
    <w:tmpl w:val="9804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5944E1"/>
    <w:multiLevelType w:val="multilevel"/>
    <w:tmpl w:val="4592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1096C"/>
    <w:multiLevelType w:val="multilevel"/>
    <w:tmpl w:val="3A68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1E448B"/>
    <w:multiLevelType w:val="multilevel"/>
    <w:tmpl w:val="AC2C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0040D0"/>
    <w:multiLevelType w:val="multilevel"/>
    <w:tmpl w:val="56D46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7C5C2F"/>
    <w:multiLevelType w:val="multilevel"/>
    <w:tmpl w:val="7984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C275FB"/>
    <w:multiLevelType w:val="multilevel"/>
    <w:tmpl w:val="CB38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467644"/>
    <w:multiLevelType w:val="multilevel"/>
    <w:tmpl w:val="C29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3337B1"/>
    <w:multiLevelType w:val="multilevel"/>
    <w:tmpl w:val="906A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734A11"/>
    <w:multiLevelType w:val="multilevel"/>
    <w:tmpl w:val="4488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3D78A1"/>
    <w:multiLevelType w:val="multilevel"/>
    <w:tmpl w:val="3120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7867A6"/>
    <w:multiLevelType w:val="multilevel"/>
    <w:tmpl w:val="3108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88618C"/>
    <w:multiLevelType w:val="multilevel"/>
    <w:tmpl w:val="19E25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DA7F2A"/>
    <w:multiLevelType w:val="multilevel"/>
    <w:tmpl w:val="826CF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5B0B6E"/>
    <w:multiLevelType w:val="multilevel"/>
    <w:tmpl w:val="4720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7112E1"/>
    <w:multiLevelType w:val="multilevel"/>
    <w:tmpl w:val="F602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A4651F"/>
    <w:multiLevelType w:val="multilevel"/>
    <w:tmpl w:val="3042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1F0E11"/>
    <w:multiLevelType w:val="multilevel"/>
    <w:tmpl w:val="AA14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6F5B11"/>
    <w:multiLevelType w:val="multilevel"/>
    <w:tmpl w:val="D83E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B10161"/>
    <w:multiLevelType w:val="multilevel"/>
    <w:tmpl w:val="27F89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5F0838"/>
    <w:multiLevelType w:val="multilevel"/>
    <w:tmpl w:val="0FA4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512412"/>
    <w:multiLevelType w:val="multilevel"/>
    <w:tmpl w:val="E600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A41CFD"/>
    <w:multiLevelType w:val="multilevel"/>
    <w:tmpl w:val="8CB4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287BA0"/>
    <w:multiLevelType w:val="multilevel"/>
    <w:tmpl w:val="F0D0F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534CFF"/>
    <w:multiLevelType w:val="multilevel"/>
    <w:tmpl w:val="12A6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08502B"/>
    <w:multiLevelType w:val="multilevel"/>
    <w:tmpl w:val="80EE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B171CA"/>
    <w:multiLevelType w:val="multilevel"/>
    <w:tmpl w:val="4968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0"/>
  </w:num>
  <w:num w:numId="3">
    <w:abstractNumId w:val="32"/>
  </w:num>
  <w:num w:numId="4">
    <w:abstractNumId w:val="11"/>
  </w:num>
  <w:num w:numId="5">
    <w:abstractNumId w:val="5"/>
  </w:num>
  <w:num w:numId="6">
    <w:abstractNumId w:val="26"/>
  </w:num>
  <w:num w:numId="7">
    <w:abstractNumId w:val="17"/>
  </w:num>
  <w:num w:numId="8">
    <w:abstractNumId w:val="24"/>
  </w:num>
  <w:num w:numId="9">
    <w:abstractNumId w:val="3"/>
  </w:num>
  <w:num w:numId="10">
    <w:abstractNumId w:val="7"/>
  </w:num>
  <w:num w:numId="11">
    <w:abstractNumId w:val="2"/>
  </w:num>
  <w:num w:numId="12">
    <w:abstractNumId w:val="14"/>
  </w:num>
  <w:num w:numId="13">
    <w:abstractNumId w:val="25"/>
  </w:num>
  <w:num w:numId="14">
    <w:abstractNumId w:val="19"/>
  </w:num>
  <w:num w:numId="15">
    <w:abstractNumId w:val="19"/>
    <w:lvlOverride w:ilvl="0">
      <w:startOverride w:val="2"/>
    </w:lvlOverride>
  </w:num>
  <w:num w:numId="16">
    <w:abstractNumId w:val="19"/>
    <w:lvlOverride w:ilvl="0">
      <w:startOverride w:val="3"/>
    </w:lvlOverride>
  </w:num>
  <w:num w:numId="17">
    <w:abstractNumId w:val="19"/>
    <w:lvlOverride w:ilvl="0">
      <w:startOverride w:val="4"/>
    </w:lvlOverride>
  </w:num>
  <w:num w:numId="18">
    <w:abstractNumId w:val="19"/>
    <w:lvlOverride w:ilvl="0">
      <w:startOverride w:val="5"/>
    </w:lvlOverride>
  </w:num>
  <w:num w:numId="19">
    <w:abstractNumId w:val="18"/>
  </w:num>
  <w:num w:numId="20">
    <w:abstractNumId w:val="13"/>
  </w:num>
  <w:num w:numId="21">
    <w:abstractNumId w:val="9"/>
  </w:num>
  <w:num w:numId="22">
    <w:abstractNumId w:val="27"/>
  </w:num>
  <w:num w:numId="23">
    <w:abstractNumId w:val="22"/>
  </w:num>
  <w:num w:numId="24">
    <w:abstractNumId w:val="15"/>
  </w:num>
  <w:num w:numId="25">
    <w:abstractNumId w:val="1"/>
  </w:num>
  <w:num w:numId="26">
    <w:abstractNumId w:val="23"/>
  </w:num>
  <w:num w:numId="27">
    <w:abstractNumId w:val="10"/>
  </w:num>
  <w:num w:numId="28">
    <w:abstractNumId w:val="31"/>
  </w:num>
  <w:num w:numId="29">
    <w:abstractNumId w:val="21"/>
  </w:num>
  <w:num w:numId="30">
    <w:abstractNumId w:val="29"/>
  </w:num>
  <w:num w:numId="31">
    <w:abstractNumId w:val="16"/>
  </w:num>
  <w:num w:numId="32">
    <w:abstractNumId w:val="6"/>
  </w:num>
  <w:num w:numId="33">
    <w:abstractNumId w:val="4"/>
  </w:num>
  <w:num w:numId="34">
    <w:abstractNumId w:val="0"/>
  </w:num>
  <w:num w:numId="35">
    <w:abstractNumId w:val="12"/>
  </w:num>
  <w:num w:numId="36">
    <w:abstractNumId w:val="30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0D"/>
    <w:rsid w:val="00115055"/>
    <w:rsid w:val="001B4D52"/>
    <w:rsid w:val="002C3A84"/>
    <w:rsid w:val="00380043"/>
    <w:rsid w:val="00445570"/>
    <w:rsid w:val="00553220"/>
    <w:rsid w:val="007C0872"/>
    <w:rsid w:val="00866608"/>
    <w:rsid w:val="008A397D"/>
    <w:rsid w:val="0090377F"/>
    <w:rsid w:val="00903E74"/>
    <w:rsid w:val="00983098"/>
    <w:rsid w:val="009963B5"/>
    <w:rsid w:val="00A643EF"/>
    <w:rsid w:val="00CD62E7"/>
    <w:rsid w:val="00E37F7F"/>
    <w:rsid w:val="00E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D8FEB-FE11-417A-8CAE-84496EC1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7F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E538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63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5380D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E5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Accentuation">
    <w:name w:val="Emphasis"/>
    <w:basedOn w:val="Policepardfaut"/>
    <w:uiPriority w:val="20"/>
    <w:qFormat/>
    <w:rsid w:val="00E5380D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E37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E37F7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D62E7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9963B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1999</Words>
  <Characters>11000</Characters>
  <Application>Microsoft Office Word</Application>
  <DocSecurity>0</DocSecurity>
  <Lines>91</Lines>
  <Paragraphs>25</Paragraphs>
  <ScaleCrop>false</ScaleCrop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Champenois</dc:creator>
  <cp:keywords/>
  <dc:description/>
  <cp:lastModifiedBy>Rebecca Champenois</cp:lastModifiedBy>
  <cp:revision>2</cp:revision>
  <dcterms:created xsi:type="dcterms:W3CDTF">2020-07-22T12:33:00Z</dcterms:created>
  <dcterms:modified xsi:type="dcterms:W3CDTF">2020-07-22T12:33:00Z</dcterms:modified>
</cp:coreProperties>
</file>