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267" w:rsidRPr="00CD1267" w:rsidRDefault="00CD1267" w:rsidP="00CD12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CD1267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Monographie</w:t>
      </w:r>
    </w:p>
    <w:p w:rsidR="00CD1267" w:rsidRPr="00CD1267" w:rsidRDefault="00CD1267" w:rsidP="00CD12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Science – Philosophie – Fiction : L’œuvre de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(1848-1910)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PUN-Editions universitaires de Lorraine, 2017.</w:t>
      </w:r>
    </w:p>
    <w:p w:rsidR="00CD1267" w:rsidRPr="00CD1267" w:rsidRDefault="00CD1267" w:rsidP="00CD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D1267" w:rsidRPr="00CD1267" w:rsidRDefault="00CD1267" w:rsidP="00CD12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CD1267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Traduction</w:t>
      </w:r>
    </w:p>
    <w:p w:rsidR="00CD1267" w:rsidRPr="00CD1267" w:rsidRDefault="00CD1267" w:rsidP="00CD12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Walter Benjamin,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Asja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Lacis, Alfred Sohn-Rethel, </w:t>
      </w:r>
      <w:proofErr w:type="gram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Sur</w:t>
      </w:r>
      <w:proofErr w:type="gram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Naples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 Ed. La Tempête, Bordeaux, 2019. (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avec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Alexandre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Métraux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</w:p>
    <w:p w:rsidR="00CD1267" w:rsidRPr="00CD1267" w:rsidRDefault="00CD1267" w:rsidP="00CD12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Alfred Sohn-Rethel,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 Monnaie, L’argent comptant de l’a priori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 Ed. La Tempête, Bordeaux, 2017.</w:t>
      </w:r>
    </w:p>
    <w:p w:rsidR="00CD1267" w:rsidRPr="00CD1267" w:rsidRDefault="00CD1267" w:rsidP="00CD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D1267" w:rsidRPr="00CD1267" w:rsidRDefault="00CD1267" w:rsidP="00CD12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CD1267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Ouvrages collectifs</w:t>
      </w:r>
    </w:p>
    <w:p w:rsidR="00CD1267" w:rsidRPr="00CD1267" w:rsidRDefault="00CD1267" w:rsidP="00CD12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Informaticiens et médecins dans la fiction contemporaine. Exploration 2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Néothèque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Strasbourg, 2016 (avec C.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Allamel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-Raffin et E.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Poupardin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).</w:t>
      </w:r>
    </w:p>
    <w:p w:rsidR="00CD1267" w:rsidRPr="00CD1267" w:rsidRDefault="00CD1267" w:rsidP="00CD12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Coordination du dossier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Tendances de la science-fiction allemande contemporaine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la revue Recherches Germaniques 2014, n°44, p. 113-207.</w:t>
      </w:r>
    </w:p>
    <w:p w:rsidR="00CD1267" w:rsidRPr="00CD1267" w:rsidRDefault="00CD1267" w:rsidP="00CD12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 science-fiction, entre Cassandre et Prométhée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Presses Universitaires de Nancy, 2010.</w:t>
      </w:r>
    </w:p>
    <w:p w:rsidR="00CD1267" w:rsidRPr="00CD1267" w:rsidRDefault="00CD1267" w:rsidP="00CD12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Die Kunst geht auch nach Brot! Wahrnehmung und Wertschätzung von Literatur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Frank und Timme Verlag, Berlin, Literaturwissenschaft, Band 17, 2010. 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(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avec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S. Grimm-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).</w:t>
      </w:r>
    </w:p>
    <w:p w:rsidR="00CD1267" w:rsidRPr="00CD1267" w:rsidRDefault="00CD1267" w:rsidP="00CD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D1267" w:rsidRPr="00CD1267" w:rsidRDefault="00CD1267" w:rsidP="00CD12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CD1267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Articles (à l’exclusion des comptes rendus d’ouvrages)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Formen und Bedeutung der Weltanschauungsliteratur bei Kurd Lasswitz » in Anna S. Brasch/ Christian Meierhofer (ed.),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Weltanschauung und Textproduktion. Beiträge zu einem Verhältnis in der Moderne.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Berlin Peter Lang 2020 (Berliner Beiträge zur Wissens- und Wissenschaftsgeschichte, Bd. 18), p. 235-267.</w:t>
      </w:r>
    </w:p>
    <w:p w:rsidR="00CD1267" w:rsidRPr="00CD1267" w:rsidRDefault="00CD1267" w:rsidP="00CD126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Des disjonctions nécessaires » in Mélodie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Faury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/Joëlle Le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Marec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Le métier à penser. Tisser des textes avec Baudouin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Jurdant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 Editions des Archives Contemporaines. Paris 2020, p. 205-208.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Une urgentiste en 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crise: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savoir, autorité et genre, dans le roman de Kristof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Magnusson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 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Arztroman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» in Catherine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Allamel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-Raffin, Sylvie Allouche, Vincent Gangloff et Vincent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Helfrich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.) 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Informaticiens et médecins dans la fiction contemporaine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3. Explorations.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Néothèque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2017, p. 179-194.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  L’Arctique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 roman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Auf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der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Spur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des Engels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Herbert W. Franke » in Annie Bourguignon / Konrad Harrer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L’Écriture du « Nord du Nord » : construction d’images, confrontation au réel et positionnement dans le champ littéraire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Berlin, Frank &amp;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Timme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2019, p. 323-337.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De la crise à la 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déviance: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cas du médecin Thomas Brenner dans le roman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Ketil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Bjørnstad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De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udødelige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 ibid. p. 195-208. id.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« Helmholtz, héros/héraut du progrès des sciences au XIXème siècle", in : Marc Rigaudière, 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Hermann von Helmholtz, Musique et Physique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Alliage n°79, été 2018, p. 84-94.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Entre science et littérature. Antonia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Fehrenbach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l’univers des nanosciences. » in Dahan-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Gaida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L, Maillard, C.,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Séginger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G.,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Talairach-Vielmas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L. (éd.)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Penser le vivant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Ed. 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de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Maison des sciences de l’homme, Paris, 2017, p. 369-387.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Médecins et informaticienne dans le roman policier de Wolfgang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Schorlau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Die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Letzte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Flucht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 pouvoirs et contre-pouvoirs. », in C.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Allamel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-Raffin, E.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Poupardin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F. Willmann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Informaticiens et médecins dans la fiction contemporaine. Exploration 2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Néothèque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Strasbourg, 2016, p. 93-104.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Séparer science et littérature - Les ambivalences du physiologiste Emil du Bois-Reymond (1818-1896) »,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Arts et Savoirs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[En ligne], 7, 2016. URL : </w:t>
      </w:r>
      <w:hyperlink r:id="rId5" w:history="1">
        <w:r w:rsidRPr="00CD1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http://aes.revues.org/955</w:t>
        </w:r>
      </w:hyperlink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Patriotisme et universalisme dans les sciences de la nature : les contradictions d’Emil du Bois-Reymond » in Philippe Alexandre et Jean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Schillinger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Patriotes et patriotisme en Allemagne du XVIème siècle à nos jours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– Editions Universitaires de Lorraine, 2015, p. 227- 249.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 supplice des grenouilles, point aveugle du progrès scientifique. Les travaux d’Emil du Bois-Reymond » in Aurélie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Choné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Catherine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Repussard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Des animaux et des hommes/Von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Tieren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und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Menschen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Recherches Germaniques Hors-Série n° 10, 2015, p. 37-p. 54.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 Vom Umgang der Science Fiction mit Wissenschaft und Technik », in Annie Bourguignon, Konrad Harrer, Franz Hintereder-Emde (Hg.),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Hohe und niedere Literatur. Tendenzen zur Ausgrenzung, Vereinnahmung und Mischung im deutschsprachigen Raum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Frank &amp; Timme, Berlin, 2015, p. 355-367.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La figure du médecin dans trois romans allemands contemporains, entre maîtrise et vulnérabilité » in : Catherine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Allamel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-Raffin, Jean-Luc Gangloff, Philippe Clermont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Informaticiens et médecins dans la fiction contemporaine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Exploration 1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Néothèque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Strasbourg, 2015, p. 191-208.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Interactions de la science et de la fiction : l'œuvre littéraire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(1848-1910) », in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Science en fiction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Alliage n° 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74;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automne 2014, p. 129-139.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Zauner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Jeschke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Retours à la case départ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.»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in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Recherches Germaniques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N° 44, 2014, p. 191-207.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Nanotechnologie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im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Popularisierungsdiskurs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Zentrale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Anliegen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und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partikulare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Interessen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», in Michael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Stolz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Laurent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Cassagnau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Daniel Meyer, Nathalie Schnitzer, (Hg)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Germanistik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 der Schweiz.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Zeitschrift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der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Schweizerischen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Akademischen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Gesellschaft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für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Germanistik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Heft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10/2013, S. 129-137.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‹La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chimie, l’arme définitive, l’arme supérieure›. Réflexions sur l’impact de l’emploi des gaz de combat lors de la Première guerre mondiale. » In, Jacqueline Bel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.) Actes et machines de guerre, volume N°13, Cahiers du Littoral, 2012, p. 447-461.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«La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ville à l’heure de la victoire sur l’espace et le temps dans le roman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Auf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zwei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Planeten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», in Aurélie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Choné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Villes invisibles et écritures de la modernité, Paris,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Ôrizons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2012, p. 187-199.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Espaces chez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O.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Battistini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J.-D. Poli, P.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Ronzeaud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J.-J.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Vincensini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éds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.), Dictionnaire des pays et lieux mythiques. Paris : Robert Laffont 2011, p. 464-466. - « Solaris », p. 1124-1126.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«Mathematik im Märchen : Kurd Lasswitz’ wissenschaftliche Dichtung », in Albrecht, Andrea/Essen, Gesa von/ Frick, Werner Frick (ed.)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Zahlen, Zeichen und Figuren: Mathematische Inspirationen in Kunst und Literatur,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Walter de Gruyter, 2011, p. 348-366.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«La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science et sa vulgarisation à travers les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Straßburger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Neueste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Nachrichten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(1941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noBreakHyphen/>
        <w:t xml:space="preserve">1944). L’absence de la </w:t>
      </w:r>
      <w:proofErr w:type="spellStart"/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Reichsuniversität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»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Revue d’Allemagne et des Pays de langue allemande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T. 43, 3-2011, p. 419-438.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«Leibniz’s Metaphysics as an Epistemological Obstacle to the Mathematization of Nature: The View of a Late 19th Century Neo-Kantian, Kurd Lasswitz » (trad. Vivian Waltz) in Ralf Krömer and Yannick Chin-Drian (eds.),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New essays on Leibniz reception in philosophy of science 1800-2000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Basel: Birkhäuser 2011, p. 25-39.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«Désenchanter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science allemande ? La réécriture de la mémoire de Carl Friedrich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Gauß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d'Alexander von Humboldt par Daniel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Kehlmann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 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Die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Vermessung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der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Welt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 (Les arpenteurs du monde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)»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Epistémocritique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La revue. 2, 2011, mis en ligne le 15 juin 2011. 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URL: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hyperlink r:id="rId6" w:tgtFrame="_blank" w:history="1">
        <w:r w:rsidRPr="00CD1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http://epistemocritique.org/desenchanter-la-science-allemande/</w:t>
        </w:r>
      </w:hyperlink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«Travail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intellectuel et travail manuel. La réflexion de J. Dietzgen,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‹ouvrier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philosophe› », in Dominique Herbet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Culture ouvrière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Arbeiterkultur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, Mutations d'une réalité complexe en Allemagne du XIXème au XXIème siècle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Presses Universitaires du Septentrion, 2011, p. 21-33.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Scientisme et catastrophisme dans le best-seller de Frank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Schätzing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Der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Schwarm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» F. Willmann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.), Presses Universitaires de Nancy, 2010, p. 53-75</w:t>
      </w:r>
      <w:r w:rsidRPr="00CD12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«L'utopie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technique et ses limites dans l'œuvre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 in Bel, Jacqueline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Technique et éthique : le défi de la culture à la nature,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Boulogne-sur-Mer, Les cahiers du Littoral, I/N°7 2010, p. 443-459.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L'exil anglais d'Alfred Sohn-Rethel, une parenthèse théorique ? », in D.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Azuélos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Les penseurs allemands et autrichiens à l’épreuve de l’exil. Interprétations, lectures et transferts dans les pays d’accueil par les exilés de langue allemande sous le national-socialisme.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Hermann, Paris, 2010, p. 135-157.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 Faust, savant fou ? », in P. Wellnitz (ed.)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Goethes Faust I zwischen Tradition und Modernität.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premier Faust de Goethe entre tradition et modernité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Presses Universitaires de Strasbourg, Collection « Etudes Germaniques », 2010, p. 161-173.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De la compatibilité entre science et religion : l’argumentation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Recherches Germaniques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N°39, 2009, p. 27-45.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«Gustav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Theodor Fechner entre science de la nature romantique et science moderne», in Alain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Muzelle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Romantisme et frontière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Nancy, 2009, p. 43-56.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«Science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cosmos et liberté chez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», in Giorgio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Erle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La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valenza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ethica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del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cosmo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Il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Poligrafo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Padova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2008, p. 305-323.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«Les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progrès des sciences et des techniques : une utopie du quotidien ?», in Philippe Alexandre (éd),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Culture et Humanité, Hommage à Elisabeth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Genton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PUN, 2008, p. 303-319.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«Die Anfänge der Science-Fictionliteratur im Spannungsfeld von Wissenschaft und Philosophie und deren Popularisierung am Beispiel von Kurd Lasswitz»,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Jahrbuch für Internationale Germanistik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Reihe A, Band 83, 2008, p. 339-343.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«Stiller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l'autre», in Karine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Chemla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Siegmund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Probst (éd.)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Liberté et Négation, Ceci n'est pas un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Festschrift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, Pour Imre Toth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http//</w:t>
      </w:r>
      <w:hyperlink r:id="rId7" w:history="1">
        <w:r w:rsidRPr="00CD1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www.halshs.archives-ouvertes.fr</w:t>
        </w:r>
      </w:hyperlink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«La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mission émancipatrice de la science moderne dans l'œuvre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(1848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noBreakHyphen/>
        <w:t xml:space="preserve">1910)», in Alexandre, Philippe,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Zschachlitz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Ralf (éd.)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Ethiques et modernité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Nancy, P.U.N, 2006, p. 31-41.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travail sur la culpabilité au service de son refoulement à travers la médiatisation du cas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Traudl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Junge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secrétaire d'Hitler»,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l'Idée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n°20, 2005, p. 189-207.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port, la métaphore impossible dans les textes des savants allemands du XIX</w:t>
      </w:r>
      <w:r w:rsidRPr="00CD12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siècle», in Bel, Jacqueline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Visions du port, Lieu et métaphore,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Boulogne-sur-Mer, Les cahiers du Littoral, N°3, 2004, p. 293-306.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«Le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néokantisme de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», in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Littérature et théorie de la connaissance 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1890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noBreakHyphen/>
        <w:t>1935, Christine Maillard, (éd.), P.U.S., 2004, p. 107-123.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«Kurd Lasswitz' Popularisierungswerk : Wissenschaft im Märchen.», in :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Literatur und Wissen(schaften) 1890-1935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Christine Maillard/ Michaël Titzmann (Hrsg.), Stuttgart, Metzler, 2002, p. 97-109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«Naturwissenschaften und Geheimwissenschaften: Abgrenzungs- und Annäherungsversuche am Beispiel von Ludwig Staudenmaiers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Die Magie als experimentelle Naturwissenschaft</w:t>
      </w:r>
      <w:r w:rsidRPr="00CD126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.», in Recherches Germaniques, Université Marc Bloch – Strasbourg 2, textes réunis par Christine Maillard, Numéro Hors Série N°1, 2002, p. 13-36.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«L'image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Napoléon chez Heine», in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L'image de Napoléon dans les littératures européennes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sous la direction de Jacqueline Bel, Les Cahiers du Littoral, juin 2000, p. 237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noBreakHyphen/>
        <w:t>249.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«La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lampe de la science et les bulles de la fiction :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Kurd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Lasswitz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1848-1910»,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Alliage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n°32, automne 1997, p. 49-54.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«‹Goethe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und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kein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Ende›. Trois physiologistes du 19ème siècle face au savant </w:t>
      </w: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Goethe»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l'Idée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Centre de Recherches Germaniques de l'Université de Nancy II, 12/1997, p. 49-70.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«Quête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d'identité et pensée scientifique dans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Stiller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», in </w:t>
      </w:r>
      <w:proofErr w:type="spell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Wellnitz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P. (éd.),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Max Frisch, la Suisse en question?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Centre Culturel Suisse et Presses Universitaires de Strasbourg, 1997, p. 165-182.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«T.W.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Adorno, W. Benjamin, A. Sohn-Rethel : Echanges et confrontations», </w:t>
      </w:r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l'Idée</w:t>
      </w:r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Centre de Recherches Germaniques de l'Université de Nancy II, 9/1994, p. 143-163.</w:t>
      </w:r>
    </w:p>
    <w:p w:rsidR="00CD1267" w:rsidRPr="00CD1267" w:rsidRDefault="00CD1267" w:rsidP="00CD12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«L'épistémologie</w:t>
      </w:r>
      <w:proofErr w:type="gram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d'Alfred Sohn-Rethel»,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Fundamenta</w:t>
      </w:r>
      <w:proofErr w:type="spellEnd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CD1267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Scientiae</w:t>
      </w:r>
      <w:proofErr w:type="spellEnd"/>
      <w:r w:rsidRPr="00CD1267">
        <w:rPr>
          <w:rFonts w:ascii="Times New Roman" w:eastAsia="Times New Roman" w:hAnsi="Times New Roman" w:cs="Times New Roman"/>
          <w:sz w:val="24"/>
          <w:szCs w:val="24"/>
          <w:lang w:eastAsia="fr-BE"/>
        </w:rPr>
        <w:t>, Volume 10, N° 2, 1989.</w:t>
      </w:r>
    </w:p>
    <w:p w:rsidR="0090377F" w:rsidRPr="00CD1267" w:rsidRDefault="0090377F" w:rsidP="00CD1267"/>
    <w:sectPr w:rsidR="0090377F" w:rsidRPr="00CD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ACB"/>
    <w:multiLevelType w:val="multilevel"/>
    <w:tmpl w:val="FE1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77F4A"/>
    <w:multiLevelType w:val="multilevel"/>
    <w:tmpl w:val="FBD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A101C"/>
    <w:multiLevelType w:val="multilevel"/>
    <w:tmpl w:val="4DF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61DC4"/>
    <w:multiLevelType w:val="multilevel"/>
    <w:tmpl w:val="2BF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07E7"/>
    <w:multiLevelType w:val="multilevel"/>
    <w:tmpl w:val="D92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73F6E"/>
    <w:multiLevelType w:val="multilevel"/>
    <w:tmpl w:val="24A4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E4742"/>
    <w:multiLevelType w:val="multilevel"/>
    <w:tmpl w:val="DBF0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C4F16"/>
    <w:multiLevelType w:val="multilevel"/>
    <w:tmpl w:val="6AA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F45BC"/>
    <w:multiLevelType w:val="multilevel"/>
    <w:tmpl w:val="E6B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B4A6C"/>
    <w:multiLevelType w:val="multilevel"/>
    <w:tmpl w:val="B4F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92DC6"/>
    <w:multiLevelType w:val="multilevel"/>
    <w:tmpl w:val="863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37A5E"/>
    <w:multiLevelType w:val="multilevel"/>
    <w:tmpl w:val="69C2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A3D26"/>
    <w:multiLevelType w:val="multilevel"/>
    <w:tmpl w:val="552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4218A"/>
    <w:multiLevelType w:val="multilevel"/>
    <w:tmpl w:val="B5A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D6A58"/>
    <w:multiLevelType w:val="multilevel"/>
    <w:tmpl w:val="07A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26296"/>
    <w:multiLevelType w:val="multilevel"/>
    <w:tmpl w:val="DD6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97DCD"/>
    <w:multiLevelType w:val="multilevel"/>
    <w:tmpl w:val="F40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D6BA3"/>
    <w:multiLevelType w:val="multilevel"/>
    <w:tmpl w:val="376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1C69E2"/>
    <w:multiLevelType w:val="multilevel"/>
    <w:tmpl w:val="7E08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20DFC"/>
    <w:multiLevelType w:val="multilevel"/>
    <w:tmpl w:val="5CB2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19"/>
  </w:num>
  <w:num w:numId="12">
    <w:abstractNumId w:val="17"/>
  </w:num>
  <w:num w:numId="13">
    <w:abstractNumId w:val="14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6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0501B0"/>
    <w:rsid w:val="00115055"/>
    <w:rsid w:val="001B4D52"/>
    <w:rsid w:val="002C3A84"/>
    <w:rsid w:val="00380043"/>
    <w:rsid w:val="00445570"/>
    <w:rsid w:val="0048450A"/>
    <w:rsid w:val="005241DA"/>
    <w:rsid w:val="00553220"/>
    <w:rsid w:val="00593C38"/>
    <w:rsid w:val="006F7512"/>
    <w:rsid w:val="00722750"/>
    <w:rsid w:val="007C0872"/>
    <w:rsid w:val="00866608"/>
    <w:rsid w:val="008A397D"/>
    <w:rsid w:val="0090377F"/>
    <w:rsid w:val="00903E74"/>
    <w:rsid w:val="00983098"/>
    <w:rsid w:val="009963B5"/>
    <w:rsid w:val="00A643EF"/>
    <w:rsid w:val="00CD1267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501B0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0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shs.archives-ouvert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istemocritique.org/desenchanter-la-science-allemande/" TargetMode="External"/><Relationship Id="rId5" Type="http://schemas.openxmlformats.org/officeDocument/2006/relationships/hyperlink" Target="http://aes.revues.org/9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2020-07-22T12:41:00Z</dcterms:created>
  <dcterms:modified xsi:type="dcterms:W3CDTF">2020-07-22T12:41:00Z</dcterms:modified>
</cp:coreProperties>
</file>