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C38" w:rsidRPr="00593C38" w:rsidRDefault="00593C38" w:rsidP="0059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593C38">
        <w:rPr>
          <w:rFonts w:ascii="Verdana" w:eastAsia="Times New Roman" w:hAnsi="Verdana" w:cs="Times New Roman"/>
          <w:b/>
          <w:bCs/>
          <w:sz w:val="21"/>
          <w:szCs w:val="21"/>
          <w:lang w:eastAsia="fr-BE"/>
        </w:rPr>
        <w:t>Monographies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L’écriture de Kleist comme élaboration progressive du discours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Une étude stylistique des nouvelles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, Peter Lang SA, Etudes Scientifiques Européennes, Berne, 1991.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L’arabesque. La théorie romantique de Friedrich Schlegel à l’époque de l’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Athenäum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, PUPS, Paris, 2006.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spacing w:before="100" w:beforeAutospacing="1" w:after="100" w:afterAutospacing="1" w:line="240" w:lineRule="auto"/>
        <w:ind w:left="425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593C38">
        <w:rPr>
          <w:rFonts w:ascii="Verdana" w:eastAsia="Times New Roman" w:hAnsi="Verdana" w:cs="Times New Roman"/>
          <w:b/>
          <w:bCs/>
          <w:sz w:val="21"/>
          <w:szCs w:val="21"/>
          <w:lang w:eastAsia="fr-BE"/>
        </w:rPr>
        <w:t>Ouvrages collectifs</w:t>
      </w:r>
    </w:p>
    <w:p w:rsidR="00593C38" w:rsidRPr="00593C38" w:rsidRDefault="00593C38" w:rsidP="00593C38">
      <w:pPr>
        <w:spacing w:before="100" w:beforeAutospacing="1"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Pour un bestiaire fantastique : le cheval dans “Le cavalier au cheval blanc” de Theodor Storm.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In : Jean Foucault, éd.,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Trajectoires du merveilleux et de son bestiaire dans les espaces culturels multiples (espaces adultes et d’enfance)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593C38">
        <w:rPr>
          <w:rFonts w:ascii="Verdana" w:eastAsia="Times New Roman" w:hAnsi="Verdana" w:cs="Times New Roman"/>
          <w:b/>
          <w:bCs/>
          <w:sz w:val="21"/>
          <w:szCs w:val="21"/>
          <w:lang w:eastAsia="fr-BE"/>
        </w:rPr>
        <w:t>Articles et contributions à des colloques internationaux et journées d’études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Article pour la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Revue d'Etudes Germaniq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ues, Paris, 1998 :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Friedrich Schlegel et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2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l’arabesque picturale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Le débat néoclassique sur les éléments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.</w:t>
      </w:r>
    </w:p>
    <w:p w:rsidR="00593C38" w:rsidRPr="00593C38" w:rsidRDefault="00593C38" w:rsidP="00593C3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Théorie de la peinture et fantastique dans L'église des jésuites de Hoffmann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Paru en février 2002, in :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Cultures d’Europe centrale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, CIRCE, Paris-Sorbonne n°2.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Friedrich Schlegel et la peinture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Article publié dans le numéro 20 de la revue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Le Texte et l’idée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. Nancy, 2005.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val="en-US" w:eastAsia="fr-BE"/>
        </w:rPr>
        <w:t>Arabeske und Phantastik bei E.T.A. Hoffmann</w:t>
      </w:r>
      <w:r w:rsidRPr="00593C38">
        <w:rPr>
          <w:rFonts w:ascii="Verdana" w:eastAsia="Times New Roman" w:hAnsi="Verdana" w:cs="Times New Roman"/>
          <w:sz w:val="18"/>
          <w:szCs w:val="18"/>
          <w:lang w:val="en-US" w:eastAsia="fr-BE"/>
        </w:rPr>
        <w:t xml:space="preserve">.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In : Actes du Congrès International des Germanistes (IVG) d’août 2005, Paris.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Poésie romantique et poésie moderne. L’image de Pierre Corneille dans l’œuvre critique de Friedrich Schlegel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. In : Actes du Colloque sur la réception de l’œuvre de Pierre Corneille en Allemagne du XVII</w:t>
      </w:r>
      <w:r w:rsidRPr="00593C38">
        <w:rPr>
          <w:rFonts w:ascii="Verdana" w:eastAsia="Times New Roman" w:hAnsi="Verdana" w:cs="Times New Roman"/>
          <w:sz w:val="18"/>
          <w:szCs w:val="18"/>
          <w:vertAlign w:val="superscript"/>
          <w:lang w:eastAsia="fr-BE"/>
        </w:rPr>
        <w:t>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siècle à l’époque romantique, Paris 2006.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lastRenderedPageBreak/>
        <w:t xml:space="preserve">Théorie poétique et peinture. Friedrich Schlegel et les Nazaréens. In : Romantisme et frontière.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Actes du Colloque international organisé et publié par Alain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Muzelle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, Nancy 2,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Collection Le Texte et l’idée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(automne 2007), p. 131-144.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Don Quichotte et Don Sylvio von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Rosalva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de Christoph Martin Wieland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In :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Der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Narr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in der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deutschen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Literatur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im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Mittelalter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und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in der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deutschen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Frühen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Neuzeit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, Colloque international organisé et publié par Jean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Schillinger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, Nancy 2, Peter Lang (mars 2008), p. 299-306.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Merveilleux et étrange dans l’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oeuvre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fantastique de Hoffmann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In :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Le merveilleux entre mythe et religion,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Colloque international de l’université d’Artois organisé et publié par Anne Besson et Evelyne Jacquelin, Artois Presse Université (septembre 2008) p. 181-190.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Théorie et pratique de la ballade dans l’Allemagne romantique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In :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La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questione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romantica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, revue de l’Université de Parme (décembre 2009) p. 17-26.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Théories romantiques de la peinture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In :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Etudes germaniques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, 64/4 (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octobredécembre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2009) p. 857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noBreakHyphen/>
        <w:t>874.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E.T.A. Hoffmann, lecteur de Wackenroder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In :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Kunstreligion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, Bd 1 Der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Ursprung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des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Konzepts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um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1800,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Colloque international à la Villa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Vigoni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(16-18 mars 2009), organisée et publié par Albert Meier, Alessandro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Costazza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et Gérard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Laudin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, De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Gruyter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, p. 253-263.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Le personnage de Gretchen et sa fonction dramatique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Article publié dans le numéro 25 de la revue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Le Texte et l'idée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. Nancy 2010, p. 153-166.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E.T.A. Hoffmann, lecteur de Wackenroder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In : Colloque international à la Villa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Vigoni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(16-18 mars 2009), intitulé :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Kunstreligion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1800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Publication chez De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Gruyter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en mars 2011.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La notion de poésie chez Friedrich Schlegel à l’époque de l’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Athenäum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In : Colloque international en l’honneur de Rémy Colombat, Nancy 17-19 novembre 2010 (paru dans 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Etudes germaniques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en 2011).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93C38" w:rsidRPr="00593C38" w:rsidRDefault="00593C38" w:rsidP="00593C3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Friedrich Schlegel. De la francophobie poétique à la francophobie </w:t>
      </w:r>
      <w:proofErr w:type="spellStart"/>
      <w:proofErr w:type="gram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politique.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In</w:t>
      </w:r>
      <w:proofErr w:type="spellEnd"/>
      <w:proofErr w:type="gram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: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Gallophilie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und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Gallophobie in der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Literatur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und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den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Medien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in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Deutschland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und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in Italien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im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18.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Jahrhundert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/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Gallophilie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et gallophobie dans la littérature et les médias en Allemagne et en Italie au XVIII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BE"/>
        </w:rPr>
        <w:t>e</w:t>
      </w:r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siècle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Etudes réunies par Raymond HEITZ / York-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Gothart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MIX / Jean </w:t>
      </w:r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lastRenderedPageBreak/>
        <w:t xml:space="preserve">MONDOT en collaboration avec Nina BIRKNER /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Herausgegeben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von Raymond HEITZ / York-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Gothart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MIX / Jean MONDOT in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Zusammenarbeit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mit Nina BIRKNER. Heidelberg :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Universitätsverlag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Winter 2011 (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Germanisch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-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Romanische</w:t>
      </w:r>
      <w:proofErr w:type="spellEnd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 xml:space="preserve"> </w:t>
      </w:r>
      <w:proofErr w:type="spellStart"/>
      <w:r w:rsidRPr="00593C38">
        <w:rPr>
          <w:rFonts w:ascii="Verdana" w:eastAsia="Times New Roman" w:hAnsi="Verdana" w:cs="Times New Roman"/>
          <w:i/>
          <w:iCs/>
          <w:sz w:val="18"/>
          <w:szCs w:val="18"/>
          <w:lang w:eastAsia="fr-BE"/>
        </w:rPr>
        <w:t>Monatsschrift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. </w:t>
      </w:r>
      <w:proofErr w:type="spellStart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>Beiheft</w:t>
      </w:r>
      <w:proofErr w:type="spellEnd"/>
      <w:r w:rsidRPr="00593C38">
        <w:rPr>
          <w:rFonts w:ascii="Verdana" w:eastAsia="Times New Roman" w:hAnsi="Verdana" w:cs="Times New Roman"/>
          <w:sz w:val="18"/>
          <w:szCs w:val="18"/>
          <w:lang w:eastAsia="fr-BE"/>
        </w:rPr>
        <w:t xml:space="preserve"> 40), p. 141-149.</w:t>
      </w:r>
    </w:p>
    <w:p w:rsidR="00593C38" w:rsidRPr="00593C38" w:rsidRDefault="00593C38" w:rsidP="00593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90377F" w:rsidRPr="00593C38" w:rsidRDefault="0090377F" w:rsidP="00593C38"/>
    <w:sectPr w:rsidR="0090377F" w:rsidRPr="0059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ACB"/>
    <w:multiLevelType w:val="multilevel"/>
    <w:tmpl w:val="FE14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77F4A"/>
    <w:multiLevelType w:val="multilevel"/>
    <w:tmpl w:val="FBD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A101C"/>
    <w:multiLevelType w:val="multilevel"/>
    <w:tmpl w:val="4DF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61DC4"/>
    <w:multiLevelType w:val="multilevel"/>
    <w:tmpl w:val="2BF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707E7"/>
    <w:multiLevelType w:val="multilevel"/>
    <w:tmpl w:val="D92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C4F16"/>
    <w:multiLevelType w:val="multilevel"/>
    <w:tmpl w:val="6AA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F45BC"/>
    <w:multiLevelType w:val="multilevel"/>
    <w:tmpl w:val="E6B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B4A6C"/>
    <w:multiLevelType w:val="multilevel"/>
    <w:tmpl w:val="B4F4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92DC6"/>
    <w:multiLevelType w:val="multilevel"/>
    <w:tmpl w:val="8636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6A3D26"/>
    <w:multiLevelType w:val="multilevel"/>
    <w:tmpl w:val="552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4218A"/>
    <w:multiLevelType w:val="multilevel"/>
    <w:tmpl w:val="B5A4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D6A58"/>
    <w:multiLevelType w:val="multilevel"/>
    <w:tmpl w:val="07A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26296"/>
    <w:multiLevelType w:val="multilevel"/>
    <w:tmpl w:val="DD6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97DCD"/>
    <w:multiLevelType w:val="multilevel"/>
    <w:tmpl w:val="F40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DD6BA3"/>
    <w:multiLevelType w:val="multilevel"/>
    <w:tmpl w:val="376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20DFC"/>
    <w:multiLevelType w:val="multilevel"/>
    <w:tmpl w:val="5CB2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0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0501B0"/>
    <w:rsid w:val="00115055"/>
    <w:rsid w:val="001B4D52"/>
    <w:rsid w:val="002C3A84"/>
    <w:rsid w:val="00380043"/>
    <w:rsid w:val="00445570"/>
    <w:rsid w:val="0048450A"/>
    <w:rsid w:val="005241DA"/>
    <w:rsid w:val="00553220"/>
    <w:rsid w:val="00593C38"/>
    <w:rsid w:val="006F7512"/>
    <w:rsid w:val="00722750"/>
    <w:rsid w:val="007C0872"/>
    <w:rsid w:val="00866608"/>
    <w:rsid w:val="008A397D"/>
    <w:rsid w:val="0090377F"/>
    <w:rsid w:val="00903E74"/>
    <w:rsid w:val="00983098"/>
    <w:rsid w:val="009963B5"/>
    <w:rsid w:val="00A643EF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963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5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501B0"/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04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2</cp:revision>
  <dcterms:created xsi:type="dcterms:W3CDTF">2020-07-22T12:40:00Z</dcterms:created>
  <dcterms:modified xsi:type="dcterms:W3CDTF">2020-07-22T12:40:00Z</dcterms:modified>
</cp:coreProperties>
</file>